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rPr>
          <w:b w:val="1"/>
          <w:sz w:val="28"/>
          <w:szCs w:val="28"/>
        </w:rPr>
      </w:pPr>
      <w:r w:rsidDel="00000000" w:rsidR="00000000" w:rsidRPr="00000000">
        <w:rPr>
          <w:b w:val="1"/>
          <w:sz w:val="28"/>
          <w:szCs w:val="28"/>
          <w:rtl w:val="0"/>
        </w:rPr>
        <w:t xml:space="preserve">THE PROBLEM OF RECOGNIZING MINANGKABAU COMMON LAND OWNERSHIP RIGHTS BETWEEN THE MATRILINEAL SYSTEM AND INDONESIAN LEGISLATION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ind w:firstLine="0"/>
        <w:rPr>
          <w:b w:val="1"/>
          <w:sz w:val="22"/>
          <w:szCs w:val="22"/>
          <w:vertAlign w:val="superscript"/>
        </w:rPr>
      </w:pPr>
      <w:r w:rsidDel="00000000" w:rsidR="00000000" w:rsidRPr="00000000">
        <w:rPr>
          <w:b w:val="1"/>
          <w:sz w:val="22"/>
          <w:szCs w:val="22"/>
          <w:rtl w:val="0"/>
        </w:rPr>
        <w:t xml:space="preserve">Heru Chandra</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Agung Iriantoro</w:t>
      </w:r>
      <w:r w:rsidDel="00000000" w:rsidR="00000000" w:rsidRPr="00000000">
        <w:rPr>
          <w:b w:val="1"/>
          <w:sz w:val="22"/>
          <w:szCs w:val="22"/>
          <w:vertAlign w:val="superscript"/>
          <w:rtl w:val="0"/>
        </w:rPr>
        <w:t xml:space="preserve">2</w:t>
      </w:r>
      <w:r w:rsidDel="00000000" w:rsidR="00000000" w:rsidRPr="00000000">
        <w:rPr>
          <w:b w:val="1"/>
          <w:sz w:val="22"/>
          <w:szCs w:val="22"/>
          <w:rtl w:val="0"/>
        </w:rPr>
        <w:t xml:space="preserve">, Tanawat Teepapal</w:t>
      </w:r>
      <w:r w:rsidDel="00000000" w:rsidR="00000000" w:rsidRPr="00000000">
        <w:rPr>
          <w:b w:val="1"/>
          <w:sz w:val="22"/>
          <w:szCs w:val="22"/>
          <w:vertAlign w:val="superscript"/>
          <w:rtl w:val="0"/>
        </w:rPr>
        <w:t xml:space="preserve">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1,2</w:t>
      </w:r>
      <w:r w:rsidDel="00000000" w:rsidR="00000000" w:rsidRPr="00000000">
        <w:rPr>
          <w:sz w:val="20"/>
          <w:szCs w:val="20"/>
          <w:rtl w:val="0"/>
        </w:rPr>
        <w:t xml:space="preserve">Universitas Pancasila, Indonesia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vertAlign w:val="superscript"/>
          <w:rtl w:val="0"/>
        </w:rPr>
        <w:t xml:space="preserve">3</w:t>
      </w:r>
      <w:r w:rsidDel="00000000" w:rsidR="00000000" w:rsidRPr="00000000">
        <w:rPr>
          <w:sz w:val="20"/>
          <w:szCs w:val="20"/>
          <w:rtl w:val="0"/>
        </w:rPr>
        <w:t xml:space="preserve">Rajamangala University Of Technology Krungthep, Thailand</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color w:val="000000"/>
          <w:sz w:val="20"/>
          <w:szCs w:val="20"/>
          <w:u w:val="none"/>
          <w:rtl w:val="0"/>
        </w:rPr>
        <w:t xml:space="preserve">5224230002@univpancasila.ac.id, agungiriantoro@univpancasila.ac.id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Tanawat.@mail.rmutk.ac.th</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Abstract</w:t>
      </w:r>
      <w:r w:rsidDel="00000000" w:rsidR="00000000" w:rsidRPr="00000000">
        <w:rPr>
          <w:rtl w:val="0"/>
        </w:rPr>
      </w:r>
    </w:p>
    <w:p w:rsidR="00000000" w:rsidDel="00000000" w:rsidP="00000000" w:rsidRDefault="00000000" w:rsidRPr="00000000" w14:paraId="0000000A">
      <w:pPr>
        <w:pStyle w:val="Heading3"/>
        <w:pBdr>
          <w:bottom w:color="000000" w:space="1" w:sz="6" w:val="single"/>
        </w:pBdr>
        <w:ind w:left="0"/>
        <w:rPr>
          <w:i w:val="1"/>
        </w:rPr>
      </w:pPr>
      <w:r w:rsidDel="00000000" w:rsidR="00000000" w:rsidRPr="00000000">
        <w:rPr>
          <w:i w:val="1"/>
          <w:rtl w:val="0"/>
        </w:rPr>
        <w:t xml:space="preserve">The communal land ownership system of the Minangkabau indigenous legal community based on the matrilineal system faces fundamental misalignment with Indonesia's national land law regulations. This research analyzes the characteristics of ulayat land ownership system based on Minangkabau customary law and its misalignment with UUPA. The research method employs a normative juridical approach with legislative analysis and literature study. The results show that Minangkabau ulayat land ownership system has unique characteristics in the form of hereditary communal ownership through maternal lineage with separation of rights and ownership concepts in the philosophy “hak bamiliek harato bapunyo, hak nan banampuharapo nan bamiliek”. The three-tiered hierarchical structure of nagari, tribal, and clan ulayat lands is managed based on the principle of “gangam bauntuak pagang bamasiang” which does not recognize the concept of buying and selling. Misalignment occurs because UUPA adopts an individual ownership paradigm that contradicts the Minangkabau communal system. Regulation through PP 18 of 2021 which enables the transformation of ulayat land into management rights actually creates a legal certainty paradox and potentially destroys the communal ownership system. The fragmentation of ulayat land to only 8.38% remaining intact reflects the failure of legal harmonization. A reconstruction of the national agrarian law paradigm is needed that can accommodate communal ownership characteristics without eliminating the essence of indigenous cultural values.</w:t>
      </w:r>
    </w:p>
    <w:p w:rsidR="00000000" w:rsidDel="00000000" w:rsidP="00000000" w:rsidRDefault="00000000" w:rsidRPr="00000000" w14:paraId="0000000B">
      <w:pPr>
        <w:pStyle w:val="Heading3"/>
        <w:pBdr>
          <w:bottom w:color="000000" w:space="1" w:sz="6" w:val="single"/>
        </w:pBdr>
        <w:ind w:left="0"/>
        <w:rPr>
          <w:b w:val="1"/>
          <w:i w:val="1"/>
        </w:rPr>
      </w:pPr>
      <w:r w:rsidDel="00000000" w:rsidR="00000000" w:rsidRPr="00000000">
        <w:rPr>
          <w:b w:val="1"/>
          <w:i w:val="1"/>
          <w:rtl w:val="0"/>
        </w:rPr>
        <w:t xml:space="preserve">Keywords: Ulayat Land, Matrilineal System, Minangkabau Customary Law</w:t>
      </w:r>
    </w:p>
    <w:p w:rsidR="00000000" w:rsidDel="00000000" w:rsidP="00000000" w:rsidRDefault="00000000" w:rsidRPr="00000000" w14:paraId="0000000C">
      <w:pPr>
        <w:pStyle w:val="Heading3"/>
        <w:pBdr>
          <w:bottom w:color="000000" w:space="1" w:sz="6" w:val="single"/>
        </w:pBdr>
        <w:ind w:left="0"/>
        <w:rPr>
          <w:b w:val="1"/>
          <w:i w:val="1"/>
        </w:rPr>
      </w:pPr>
      <w:bookmarkStart w:colFirst="0" w:colLast="0" w:name="_5xy98qgtjja" w:id="0"/>
      <w:bookmarkEnd w:id="0"/>
      <w:r w:rsidDel="00000000" w:rsidR="00000000" w:rsidRPr="00000000">
        <w:rPr>
          <w:rtl w:val="0"/>
        </w:rPr>
      </w:r>
    </w:p>
    <w:p w:rsidR="00000000" w:rsidDel="00000000" w:rsidP="00000000" w:rsidRDefault="00000000" w:rsidRPr="00000000" w14:paraId="0000000D">
      <w:pPr>
        <w:pStyle w:val="Heading3"/>
        <w:pBdr>
          <w:bottom w:color="000000" w:space="1" w:sz="6" w:val="single"/>
        </w:pBdr>
        <w:ind w:left="0" w:right="0" w:firstLine="0"/>
        <w:rPr>
          <w:b w:val="1"/>
          <w:i w:val="1"/>
          <w:color w:val="00000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2"/>
        <w:keepLines w:val="1"/>
        <w:numPr>
          <w:ilvl w:val="0"/>
          <w:numId w:val="4"/>
        </w:numPr>
        <w:spacing w:after="0" w:before="0" w:line="276" w:lineRule="auto"/>
        <w:ind w:left="720" w:hanging="360"/>
        <w:jc w:val="both"/>
        <w:rPr>
          <w:i w:val="0"/>
          <w:sz w:val="24"/>
          <w:szCs w:val="24"/>
          <w:u w:val="none"/>
        </w:rPr>
      </w:pPr>
      <w:r w:rsidDel="00000000" w:rsidR="00000000" w:rsidRPr="00000000">
        <w:rPr>
          <w:i w:val="0"/>
          <w:sz w:val="24"/>
          <w:szCs w:val="24"/>
          <w:rtl w:val="0"/>
        </w:rPr>
        <w:t xml:space="preserve">INTRODUCTION</w:t>
      </w:r>
      <w:r w:rsidDel="00000000" w:rsidR="00000000" w:rsidRPr="00000000">
        <w:rPr>
          <w:rtl w:val="0"/>
        </w:rPr>
      </w:r>
    </w:p>
    <w:p w:rsidR="00000000" w:rsidDel="00000000" w:rsidP="00000000" w:rsidRDefault="00000000" w:rsidRPr="00000000" w14:paraId="00000010">
      <w:pPr>
        <w:spacing w:line="276" w:lineRule="auto"/>
        <w:jc w:val="both"/>
        <w:rPr>
          <w:sz w:val="24"/>
          <w:szCs w:val="24"/>
        </w:rPr>
      </w:pPr>
      <w:r w:rsidDel="00000000" w:rsidR="00000000" w:rsidRPr="00000000">
        <w:rPr>
          <w:sz w:val="24"/>
          <w:szCs w:val="24"/>
          <w:rtl w:val="0"/>
        </w:rPr>
        <w:t xml:space="preserve">Land is a fundamental human need. Humans live and carry out activities on land, so it can be said that almost all human activities, both directly and indirectly, always require land. Land, as a natural resource bestowed by God Almighty to the Indonesian people as a national treasure, is a means of carrying out all activities of the people's lives and plays a vital role in human life. In this case, everyone definitely needs land, not only to live and live their lives. Even to die, humans need land. Likewise, in the context of state interests, especially in supporting development activities in all fields, land is always needed as a place to carry out these development activities.</w:t>
      </w:r>
    </w:p>
    <w:p w:rsidR="00000000" w:rsidDel="00000000" w:rsidP="00000000" w:rsidRDefault="00000000" w:rsidRPr="00000000" w14:paraId="00000011">
      <w:pPr>
        <w:spacing w:line="276" w:lineRule="auto"/>
        <w:jc w:val="both"/>
        <w:rPr>
          <w:sz w:val="24"/>
          <w:szCs w:val="24"/>
        </w:rPr>
      </w:pPr>
      <w:r w:rsidDel="00000000" w:rsidR="00000000" w:rsidRPr="00000000">
        <w:rPr>
          <w:sz w:val="24"/>
          <w:szCs w:val="24"/>
          <w:rtl w:val="0"/>
        </w:rPr>
        <w:t xml:space="preserve">Development requires land, therefore the use and management of land for development must be aimed at achieving a just, prosperous and prosperous society in accordance with the provisions of Article 33 paragraph (3) of the 1945 Constitution of the Republic of Indonesia, namely: “The earth, water and space and the natural resources contained therein are controlled by the State and used for the greatest prosperity of the people.” Article 33 paragraph (3) of the 1945 Constitution of the Republic of Indonesia above, emphasizes the role of the State in managing and regulating land, that the natural resources contained therein are controlled by the State and used for the greatest prosperity of the Indonesian people. Article 6 of the UUPA formulates that all rights to land have a social function, this means that any right to land is not only used solely for one's own interests or certain community groups, but must pay attention to the social function without harming the interests of all levels of society. So that every person, legal entity or agency that has a legal relationship with land is obliged to use its land by maintaining the land, increasing its fertility, preventing damage so that it is more efficient and effective and beneficial to the welfare of society.</w:t>
      </w:r>
    </w:p>
    <w:p w:rsidR="00000000" w:rsidDel="00000000" w:rsidP="00000000" w:rsidRDefault="00000000" w:rsidRPr="00000000" w14:paraId="00000012">
      <w:pPr>
        <w:spacing w:line="276" w:lineRule="auto"/>
        <w:jc w:val="both"/>
        <w:rPr>
          <w:sz w:val="24"/>
          <w:szCs w:val="24"/>
        </w:rPr>
      </w:pPr>
      <w:r w:rsidDel="00000000" w:rsidR="00000000" w:rsidRPr="00000000">
        <w:rPr>
          <w:sz w:val="24"/>
          <w:szCs w:val="24"/>
          <w:rtl w:val="0"/>
        </w:rPr>
        <w:t xml:space="preserve">The implementation of the social function of land is linked to the land ownership system of customary law communities that has existed for centuries. Indonesia, as a state of law, according to Article 1 paragraph (3) of the 1945 Constitution of the Republic of Indonesia, has a constitutional obligation to protect the rights of its citizens, including the traditional rights of customary law communities to land. The Constitutional Court in Decision Number 31/PUU-V/2007 has provided criteria for the existence of customary law communities that must be met, including the existence of strong group feelings, customary government institutions, customary assets, customary legal norms, and certain customary territories. This constitutional recognition confirms that customary law communities are legal subjects who have traditional rights that must be recognized and protected by the state within the framework of the Unitary State of the Republic of Indonesia. both political rights and rights to land and natural resources in their customary areas .</w:t>
      </w:r>
    </w:p>
    <w:p w:rsidR="00000000" w:rsidDel="00000000" w:rsidP="00000000" w:rsidRDefault="00000000" w:rsidRPr="00000000" w14:paraId="00000013">
      <w:pPr>
        <w:spacing w:line="276" w:lineRule="auto"/>
        <w:jc w:val="both"/>
        <w:rPr>
          <w:sz w:val="24"/>
          <w:szCs w:val="24"/>
        </w:rPr>
      </w:pPr>
      <w:r w:rsidDel="00000000" w:rsidR="00000000" w:rsidRPr="00000000">
        <w:rPr>
          <w:sz w:val="24"/>
          <w:szCs w:val="24"/>
          <w:rtl w:val="0"/>
        </w:rPr>
        <w:t xml:space="preserve">The Minangkabau customary law community in West Sumatra is one of the largest customary communities in Indonesia that has a very unique land ownership system and cannot be separated from their existence as a socio-cultural unit. Customary land for the Minangkabau people is not just a legal object or economic commodity, but a spiritual, social, cultural, and economic foundation that binds all members of society in one communal unity. The relationship between the Minangkabau customary law community and customary land is a relationship that has existed since their ancestors from the first and second waves inhabited the area with the system of “ </w:t>
      </w:r>
      <w:r w:rsidDel="00000000" w:rsidR="00000000" w:rsidRPr="00000000">
        <w:rPr>
          <w:i w:val="1"/>
          <w:sz w:val="24"/>
          <w:szCs w:val="24"/>
          <w:rtl w:val="0"/>
        </w:rPr>
        <w:t xml:space="preserve">hutan jauah baulangi, hutan dakek bukandano </w:t>
      </w:r>
      <w:r w:rsidDel="00000000" w:rsidR="00000000" w:rsidRPr="00000000">
        <w:rPr>
          <w:sz w:val="24"/>
          <w:szCs w:val="24"/>
          <w:rtl w:val="0"/>
        </w:rPr>
        <w:t xml:space="preserve">“ (meaning that even though the forest has not been cultivated, it is still visited periodically by those who have customary land to take forest products or carry out supervision, the forest has been cultivated to be used as fields (taratak) or settlements ( </w:t>
      </w:r>
      <w:r w:rsidDel="00000000" w:rsidR="00000000" w:rsidRPr="00000000">
        <w:rPr>
          <w:i w:val="1"/>
          <w:sz w:val="24"/>
          <w:szCs w:val="24"/>
          <w:rtl w:val="0"/>
        </w:rPr>
        <w:t xml:space="preserve">dusun/koto </w:t>
      </w:r>
      <w:r w:rsidDel="00000000" w:rsidR="00000000" w:rsidRPr="00000000">
        <w:rPr>
          <w:sz w:val="24"/>
          <w:szCs w:val="24"/>
          <w:rtl w:val="0"/>
        </w:rPr>
        <w:t xml:space="preserve">). Not an inch of land in Minangkabau is unowned/ownerless. This attachment makes land one of the main factors that unites the Minangkabau people, where there is not an inch of land in Minangkabau that does not have a traditional owner or ruler. The philosophy of life of the Minangkabau people is based on the principle of “</w:t>
      </w:r>
      <w:r w:rsidDel="00000000" w:rsidR="00000000" w:rsidRPr="00000000">
        <w:rPr>
          <w:i w:val="1"/>
          <w:sz w:val="24"/>
          <w:szCs w:val="24"/>
          <w:rtl w:val="0"/>
        </w:rPr>
        <w:t xml:space="preserve">adat basandi syarak, syarak basandi Kitabullah</w:t>
      </w:r>
      <w:r w:rsidDel="00000000" w:rsidR="00000000" w:rsidRPr="00000000">
        <w:rPr>
          <w:sz w:val="24"/>
          <w:szCs w:val="24"/>
          <w:rtl w:val="0"/>
        </w:rPr>
        <w:t xml:space="preserve">” also colors their perspective on the ownership and management of customary land. </w:t>
      </w:r>
    </w:p>
    <w:p w:rsidR="00000000" w:rsidDel="00000000" w:rsidP="00000000" w:rsidRDefault="00000000" w:rsidRPr="00000000" w14:paraId="00000014">
      <w:pPr>
        <w:spacing w:line="276" w:lineRule="auto"/>
        <w:jc w:val="both"/>
        <w:rPr>
          <w:sz w:val="24"/>
          <w:szCs w:val="24"/>
        </w:rPr>
      </w:pPr>
      <w:r w:rsidDel="00000000" w:rsidR="00000000" w:rsidRPr="00000000">
        <w:rPr>
          <w:sz w:val="24"/>
          <w:szCs w:val="24"/>
          <w:rtl w:val="0"/>
        </w:rPr>
        <w:t xml:space="preserve">The unique matrilineal kinship system adopted by the Minangkabau people creates a land ownership pattern that is fundamentally different from the concept of individual ownership in Indonesian positive law. Ownership of customary land in Minangkabau is communal and hereditary through the maternal line, with a hierarchical structure consisting of three levels: nagari customary land, tribal customary land, and kaum customary land. Each level has a different management mechanism but is still based on the principle of collective ownership under the coordination of the mamak kepala waris or penghulu suku according to the customary land level. This matrilineal system also recognizes the concept of “basako” which means that every clan or tribe has immaterial wealth, for example the title of headman which is usually called the title of sako, this title is held by the head of the clan and “bapusako” ( meaning that every tribe or clan has material wealth which is usually known as the high clan inheritance property. The control of the management and maintenance of this high clan inheritance property is held by the head of the heirloom . The legitimacy of a person or a clan's ownership of a Minangkabau traditional area is a wealth that is always maintained, because the authority of the clan will be determined by the size of the land owned, as well as in determining whether or not a person (a clan) is originally from a region. Whether or not a person is originally from a region is indicated by: </w:t>
      </w:r>
    </w:p>
    <w:p w:rsidR="00000000" w:rsidDel="00000000" w:rsidP="00000000" w:rsidRDefault="00000000" w:rsidRPr="00000000" w14:paraId="00000015">
      <w:pPr>
        <w:spacing w:line="276" w:lineRule="auto"/>
        <w:jc w:val="both"/>
        <w:rPr>
          <w:sz w:val="24"/>
          <w:szCs w:val="24"/>
        </w:rPr>
      </w:pPr>
      <w:r w:rsidDel="00000000" w:rsidR="00000000" w:rsidRPr="00000000">
        <w:rPr>
          <w:sz w:val="24"/>
          <w:szCs w:val="24"/>
          <w:rtl w:val="0"/>
        </w:rPr>
        <w:t xml:space="preserve">“</w:t>
      </w:r>
      <w:r w:rsidDel="00000000" w:rsidR="00000000" w:rsidRPr="00000000">
        <w:rPr>
          <w:i w:val="1"/>
          <w:sz w:val="24"/>
          <w:szCs w:val="24"/>
          <w:rtl w:val="0"/>
        </w:rPr>
        <w:t xml:space="preserve">Ado but it looks like you're taking a shower </w:t>
      </w:r>
      <w:r w:rsidDel="00000000" w:rsidR="00000000" w:rsidRPr="00000000">
        <w:rPr>
          <w:sz w:val="24"/>
          <w:szCs w:val="24"/>
          <w:rtl w:val="0"/>
        </w:rPr>
        <w:t xml:space="preserve">, (there's an edge where you can take a shower),</w:t>
      </w:r>
    </w:p>
    <w:p w:rsidR="00000000" w:rsidDel="00000000" w:rsidP="00000000" w:rsidRDefault="00000000" w:rsidRPr="00000000" w14:paraId="00000016">
      <w:pPr>
        <w:spacing w:line="276" w:lineRule="auto"/>
        <w:jc w:val="both"/>
        <w:rPr>
          <w:sz w:val="24"/>
          <w:szCs w:val="24"/>
        </w:rPr>
      </w:pPr>
      <w:r w:rsidDel="00000000" w:rsidR="00000000" w:rsidRPr="00000000">
        <w:rPr>
          <w:i w:val="1"/>
          <w:sz w:val="24"/>
          <w:szCs w:val="24"/>
          <w:rtl w:val="0"/>
        </w:rPr>
        <w:t xml:space="preserve">Ado basasok bajarami</w:t>
      </w:r>
      <w:r w:rsidDel="00000000" w:rsidR="00000000" w:rsidRPr="00000000">
        <w:rPr>
          <w:sz w:val="24"/>
          <w:szCs w:val="24"/>
          <w:rtl w:val="0"/>
        </w:rPr>
        <w:t xml:space="preserve">, (there are productive rice fields),</w:t>
      </w:r>
    </w:p>
    <w:p w:rsidR="00000000" w:rsidDel="00000000" w:rsidP="00000000" w:rsidRDefault="00000000" w:rsidRPr="00000000" w14:paraId="00000017">
      <w:pPr>
        <w:spacing w:line="276" w:lineRule="auto"/>
        <w:ind w:left="567"/>
        <w:jc w:val="both"/>
        <w:rPr>
          <w:sz w:val="24"/>
          <w:szCs w:val="24"/>
        </w:rPr>
      </w:pPr>
      <w:r w:rsidDel="00000000" w:rsidR="00000000" w:rsidRPr="00000000">
        <w:rPr>
          <w:sz w:val="24"/>
          <w:szCs w:val="24"/>
          <w:rtl w:val="0"/>
        </w:rPr>
        <w:t xml:space="preserve">There is land specifically used for family graves </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18">
      <w:pPr>
        <w:spacing w:line="276" w:lineRule="auto"/>
        <w:jc w:val="both"/>
        <w:rPr>
          <w:sz w:val="24"/>
          <w:szCs w:val="24"/>
        </w:rPr>
      </w:pPr>
      <w:r w:rsidDel="00000000" w:rsidR="00000000" w:rsidRPr="00000000">
        <w:rPr>
          <w:sz w:val="24"/>
          <w:szCs w:val="24"/>
          <w:rtl w:val="0"/>
        </w:rPr>
        <w:t xml:space="preserve">Ki Jal Atri Tanjung, who also serves as Deputy Chairman of Muhammadiyah West Sumatra, explained that in Minangkabau tradition, customary land is ancestral land that is collectively owned by a tribe or clan, and managed based on prevailing customs. This customary land is not merely a legal object, but a symbol of identity and the continued existence of a firm indigenous community. This principle of sustainability is reflected in the three dimensions of customary rights according to the Minangkabau community's conception: as land rights received from generations of ancestors who founded the nagari, equal rights for all members of the legal community as a whole, and rights that belong not only to the current generation but also to future generations. This philosophical understanding shows that customary land has social and ecological functions that go beyond mere economic interests, but also serve as an instrument for preserving the cultural values and identity of indigenous communities. This concept is in line with the Minangkabau proverb , which states that “ </w:t>
      </w:r>
      <w:r w:rsidDel="00000000" w:rsidR="00000000" w:rsidRPr="00000000">
        <w:rPr>
          <w:i w:val="1"/>
          <w:sz w:val="24"/>
          <w:szCs w:val="24"/>
          <w:rtl w:val="0"/>
        </w:rPr>
        <w:t xml:space="preserve">kabau tagak kubangan tingga, nan taboak sado luluak nan lakek di badan </w:t>
      </w:r>
      <w:r w:rsidDel="00000000" w:rsidR="00000000" w:rsidRPr="00000000">
        <w:rPr>
          <w:sz w:val="24"/>
          <w:szCs w:val="24"/>
          <w:rtl w:val="0"/>
        </w:rPr>
        <w:t xml:space="preserve">“ means that if a party who uses customary land has left, then the customary land remains, while what is taken is the results obtained when using the customary land. </w:t>
      </w:r>
    </w:p>
    <w:p w:rsidR="00000000" w:rsidDel="00000000" w:rsidP="00000000" w:rsidRDefault="00000000" w:rsidRPr="00000000" w14:paraId="00000019">
      <w:pPr>
        <w:spacing w:line="276" w:lineRule="auto"/>
        <w:jc w:val="both"/>
        <w:rPr>
          <w:sz w:val="24"/>
          <w:szCs w:val="24"/>
        </w:rPr>
      </w:pPr>
      <w:r w:rsidDel="00000000" w:rsidR="00000000" w:rsidRPr="00000000">
        <w:rPr>
          <w:sz w:val="24"/>
          <w:szCs w:val="24"/>
          <w:rtl w:val="0"/>
        </w:rPr>
        <w:t xml:space="preserve">Law Number 5 of 1960 concerning Basic Agrarian Regulations (UUPA) has actually recognized the existence of customary rights such as this as in Article 3 regulates the recognition and implementation of customary rights and similar rights of indigenous legal communities, with the provision that their implementation must be in accordance with national and state interests, based on national unity, and must not conflict with higher laws and regulations. However, the implementation arrangements in implementing regulations still raise legal issues. For example, UUPA, which adheres to an individual ownership system and is oriented towards land certification, has the potential to conflict with the communal ownership system of the Minangkabau indigenous community which is collective. This difference in ownership paradigm creates structural tension between efforts to modernize national land law and the preservation of the customary legal system that has existed for centuries in Minangkabau.</w:t>
      </w:r>
    </w:p>
    <w:p w:rsidR="00000000" w:rsidDel="00000000" w:rsidP="00000000" w:rsidRDefault="00000000" w:rsidRPr="00000000" w14:paraId="0000001A">
      <w:pPr>
        <w:spacing w:line="276" w:lineRule="auto"/>
        <w:jc w:val="both"/>
        <w:rPr>
          <w:sz w:val="24"/>
          <w:szCs w:val="24"/>
        </w:rPr>
      </w:pPr>
      <w:r w:rsidDel="00000000" w:rsidR="00000000" w:rsidRPr="00000000">
        <w:rPr>
          <w:sz w:val="24"/>
          <w:szCs w:val="24"/>
          <w:rtl w:val="0"/>
        </w:rPr>
        <w:t xml:space="preserve">Government Regulation Number 18 of 2021 concerning Management Rights, Land Rights, Apartment Units, and Land Registration, as an implementation of Law Number 11 of 2020 concerning Job Creation, brings a significant paradigm shift in the regulation of customary land. This regulation explicitly allows for the granting of Management Rights (HPL) over customary land through a registration and certification process, defining customary land as “land located within the control of customary law communities that in reality still exists and is not attached to any Land Rights.” As conveyed by Professor Maria SW Sumarjono , Professor of Agrarian Law at Gadjah Mada University (UGM), who wrote an article “Post-UUCK Land Governance” in the </w:t>
      </w:r>
      <w:r w:rsidDel="00000000" w:rsidR="00000000" w:rsidRPr="00000000">
        <w:rPr>
          <w:i w:val="1"/>
          <w:sz w:val="24"/>
          <w:szCs w:val="24"/>
          <w:rtl w:val="0"/>
        </w:rPr>
        <w:t xml:space="preserve">Kompas newspaper </w:t>
      </w:r>
      <w:r w:rsidDel="00000000" w:rsidR="00000000" w:rsidRPr="00000000">
        <w:rPr>
          <w:sz w:val="24"/>
          <w:szCs w:val="24"/>
          <w:rtl w:val="0"/>
        </w:rPr>
        <w:t xml:space="preserve">on March 16, 2021, she also criticized the regulation on granting Management Rights (HPL) for customary lands as stipulated in Government Regulation (PP) No. 18/2021 concerning Management Rights, Land Rights, Apartment Units, and Land Registration. The PP authorizes the National Land Agency (BPN) to develop a Management Rights (HPL) scheme for lands with customary rights granted by the Customary Law Community (MHA) . </w:t>
      </w:r>
    </w:p>
    <w:p w:rsidR="00000000" w:rsidDel="00000000" w:rsidP="00000000" w:rsidRDefault="00000000" w:rsidRPr="00000000" w14:paraId="0000001B">
      <w:pPr>
        <w:spacing w:line="276" w:lineRule="auto"/>
        <w:jc w:val="both"/>
        <w:rPr>
          <w:sz w:val="24"/>
          <w:szCs w:val="24"/>
        </w:rPr>
      </w:pPr>
      <w:r w:rsidDel="00000000" w:rsidR="00000000" w:rsidRPr="00000000">
        <w:rPr>
          <w:sz w:val="24"/>
          <w:szCs w:val="24"/>
          <w:rtl w:val="0"/>
        </w:rPr>
        <w:t xml:space="preserve">The reality on the ground also demonstrates the complexity of customary land issues in West Sumatra, which require serious attention from various parties. Research conducted by the Center for Agrarian and Customary Law Studies, Faculty of Law, Andalas University, on 543 villages in West Sumatra shows that the percentage of intact customary land in villages is only 8.38%, while the majority of existing customary land is customary land of clans and tribes. Data from the Agrarian Reform Consortium records at least 2,710 agrarian conflicts to date, with West Sumatra Province being one of the regions experiencing quite complex agrarian conflicts, particularly those related to customary land. Approximately 352,000 hectares of customary land in the Minang region have not yet received certificates, potentially giving rise to future agrarian conflicts, both within the customary community and with other parties. This condition reflects the fragmentation of customary land ownership, which can complicate the implementation of systematic land registration. This is compounded by limited data and documentation regarding customary land boundaries, which pose technical obstacles in the administrative process of land registration. A concrete example is the customary land dispute in Nagari Kinali, West Pasaman Regency, where in 1989 7,000 hectares of customary land was handed over by 21 ninik mamak to a palm oil company with the concept of a cooperation agreement, but the community's rights to 20 percent of the cultivated area were not fulfilled by the company, resulting in a legal dispute.</w:t>
      </w:r>
    </w:p>
    <w:p w:rsidR="00000000" w:rsidDel="00000000" w:rsidP="00000000" w:rsidRDefault="00000000" w:rsidRPr="00000000" w14:paraId="0000001C">
      <w:pPr>
        <w:spacing w:line="276" w:lineRule="auto"/>
        <w:jc w:val="both"/>
        <w:rPr>
          <w:sz w:val="24"/>
          <w:szCs w:val="24"/>
        </w:rPr>
      </w:pPr>
      <w:r w:rsidDel="00000000" w:rsidR="00000000" w:rsidRPr="00000000">
        <w:rPr>
          <w:sz w:val="24"/>
          <w:szCs w:val="24"/>
          <w:rtl w:val="0"/>
        </w:rPr>
        <w:t xml:space="preserve">The legal issues arising from the dualism of land ownership systems between Minangkabau customary law and Indonesian positive law require in-depth study to find a comprehensive and equitable solution. Harmonization of communal ownership systems based on the principle of “ </w:t>
      </w:r>
      <w:r w:rsidDel="00000000" w:rsidR="00000000" w:rsidRPr="00000000">
        <w:rPr>
          <w:i w:val="1"/>
          <w:sz w:val="24"/>
          <w:szCs w:val="24"/>
          <w:rtl w:val="0"/>
        </w:rPr>
        <w:t xml:space="preserve">adat basandi syarak, syarak basandi Kitabullah” (customary law, sharia law, and the Book of God) </w:t>
      </w:r>
      <w:r w:rsidDel="00000000" w:rsidR="00000000" w:rsidRPr="00000000">
        <w:rPr>
          <w:sz w:val="24"/>
          <w:szCs w:val="24"/>
          <w:rtl w:val="0"/>
        </w:rPr>
        <w:t xml:space="preserve">is essential . According to Buya, individual certification risks transforming customary land into a private asset that can easily be bought and sold or mortgaged to financial institutions. The customary land certification process through the HPL mechanism must accommodate the characteristics of communal ownership that cannot be traded, cannot be mortgaged, and must remain under the control of the customary law community from generation to generation. The role of ninik mamak and customary institutions is crucial in overseeing the certification process to prevent it from becoming a loophole for the conversion and commercialization of customary land that is contrary to the philosophy of Minangkabau customary law. Efforts to reconstruct the concept of regulating customary land ownership within the national legal framework need to consider the sociological, anthropological, and philosophical aspects of the customary community to prevent the erosion of deeply rooted cultural values in Minangkabau society, while also providing adequate legal protection for the existence and sustainability of customary rights as an integral part of the identity and existence of the Minangkabau customary law community.</w:t>
      </w:r>
    </w:p>
    <w:p w:rsidR="00000000" w:rsidDel="00000000" w:rsidP="00000000" w:rsidRDefault="00000000" w:rsidRPr="00000000" w14:paraId="0000001D">
      <w:pPr>
        <w:spacing w:line="276" w:lineRule="auto"/>
        <w:jc w:val="both"/>
        <w:rPr>
          <w:sz w:val="24"/>
          <w:szCs w:val="24"/>
        </w:rPr>
      </w:pPr>
      <w:r w:rsidDel="00000000" w:rsidR="00000000" w:rsidRPr="00000000">
        <w:rPr>
          <w:rtl w:val="0"/>
        </w:rPr>
      </w:r>
    </w:p>
    <w:p w:rsidR="00000000" w:rsidDel="00000000" w:rsidP="00000000" w:rsidRDefault="00000000" w:rsidRPr="00000000" w14:paraId="0000001E">
      <w:pPr>
        <w:numPr>
          <w:ilvl w:val="0"/>
          <w:numId w:val="4"/>
        </w:numPr>
        <w:spacing w:line="276" w:lineRule="auto"/>
        <w:ind w:left="720" w:hanging="360"/>
        <w:jc w:val="left"/>
        <w:rPr>
          <w:b w:val="1"/>
          <w:sz w:val="24"/>
          <w:szCs w:val="24"/>
          <w:u w:val="none"/>
        </w:rPr>
      </w:pPr>
      <w:r w:rsidDel="00000000" w:rsidR="00000000" w:rsidRPr="00000000">
        <w:rPr>
          <w:b w:val="1"/>
          <w:sz w:val="24"/>
          <w:szCs w:val="24"/>
          <w:rtl w:val="0"/>
        </w:rPr>
        <w:t xml:space="preserve">Literature Review</w:t>
      </w:r>
    </w:p>
    <w:p w:rsidR="00000000" w:rsidDel="00000000" w:rsidP="00000000" w:rsidRDefault="00000000" w:rsidRPr="00000000" w14:paraId="0000001F">
      <w:pPr>
        <w:spacing w:line="276" w:lineRule="auto"/>
        <w:ind w:left="0" w:firstLine="720"/>
        <w:jc w:val="both"/>
        <w:rPr>
          <w:b w:val="1"/>
          <w:sz w:val="24"/>
          <w:szCs w:val="24"/>
        </w:rPr>
      </w:pPr>
      <w:r w:rsidDel="00000000" w:rsidR="00000000" w:rsidRPr="00000000">
        <w:rPr>
          <w:b w:val="1"/>
          <w:sz w:val="24"/>
          <w:szCs w:val="24"/>
          <w:rtl w:val="0"/>
        </w:rPr>
        <w:t xml:space="preserve">2.1. State </w:t>
      </w:r>
      <w:r w:rsidDel="00000000" w:rsidR="00000000" w:rsidRPr="00000000">
        <w:rPr>
          <w:b w:val="1"/>
          <w:sz w:val="24"/>
          <w:szCs w:val="24"/>
          <w:rtl w:val="0"/>
        </w:rPr>
        <w:t xml:space="preserve">Theory of Law</w:t>
      </w:r>
    </w:p>
    <w:p w:rsidR="00000000" w:rsidDel="00000000" w:rsidP="00000000" w:rsidRDefault="00000000" w:rsidRPr="00000000" w14:paraId="00000020">
      <w:pPr>
        <w:spacing w:line="276" w:lineRule="auto"/>
        <w:ind w:left="0" w:firstLine="720"/>
        <w:jc w:val="both"/>
        <w:rPr>
          <w:sz w:val="24"/>
          <w:szCs w:val="24"/>
        </w:rPr>
      </w:pPr>
      <w:r w:rsidDel="00000000" w:rsidR="00000000" w:rsidRPr="00000000">
        <w:rPr>
          <w:sz w:val="24"/>
          <w:szCs w:val="24"/>
          <w:rtl w:val="0"/>
        </w:rPr>
        <w:t xml:space="preserve">Bintan R. Saragih provides an operational definition of a state based on law as a state that places law as the basis for every action of the government and the people to prevent arbitrariness and actions based solely on subjective will. This conception emphasizes three structural elements in the theory of a state based on law: expert opinion ( </w:t>
      </w:r>
      <w:r w:rsidDel="00000000" w:rsidR="00000000" w:rsidRPr="00000000">
        <w:rPr>
          <w:i w:val="1"/>
          <w:sz w:val="24"/>
          <w:szCs w:val="24"/>
          <w:rtl w:val="0"/>
        </w:rPr>
        <w:t xml:space="preserve">or </w:t>
      </w:r>
      <w:r w:rsidDel="00000000" w:rsidR="00000000" w:rsidRPr="00000000">
        <w:rPr>
          <w:sz w:val="24"/>
          <w:szCs w:val="24"/>
          <w:rtl w:val="0"/>
        </w:rPr>
        <w:t xml:space="preserve">deskundig </w:t>
      </w:r>
      <w:r w:rsidDel="00000000" w:rsidR="00000000" w:rsidRPr="00000000">
        <w:rPr>
          <w:i w:val="1"/>
          <w:sz w:val="24"/>
          <w:szCs w:val="24"/>
          <w:rtl w:val="0"/>
        </w:rPr>
        <w:t xml:space="preserve">advice </w:t>
      </w:r>
      <w:r w:rsidDel="00000000" w:rsidR="00000000" w:rsidRPr="00000000">
        <w:rPr>
          <w:sz w:val="24"/>
          <w:szCs w:val="24"/>
          <w:rtl w:val="0"/>
        </w:rPr>
        <w:t xml:space="preserve">) as an epistemological basis, action </w:t>
      </w:r>
      <w:r w:rsidDel="00000000" w:rsidR="00000000" w:rsidRPr="00000000">
        <w:rPr>
          <w:i w:val="1"/>
          <w:sz w:val="24"/>
          <w:szCs w:val="24"/>
          <w:rtl w:val="0"/>
        </w:rPr>
        <w:t xml:space="preserve">as </w:t>
      </w:r>
      <w:r w:rsidDel="00000000" w:rsidR="00000000" w:rsidRPr="00000000">
        <w:rPr>
          <w:sz w:val="24"/>
          <w:szCs w:val="24"/>
          <w:rtl w:val="0"/>
        </w:rPr>
        <w:t xml:space="preserve">an implementative manifestation based on statutory regulations, and orientation to law as a fundamental principle. John Austin strengthens the normative dimension by defining law as a regulation created to provide guidance to rational beings by an authority that has power over them, thus creating a structured and legally based hierarchy of authority.</w:t>
      </w:r>
    </w:p>
    <w:p w:rsidR="00000000" w:rsidDel="00000000" w:rsidP="00000000" w:rsidRDefault="00000000" w:rsidRPr="00000000" w14:paraId="00000021">
      <w:pPr>
        <w:spacing w:line="276" w:lineRule="auto"/>
        <w:ind w:left="0" w:firstLine="720"/>
        <w:jc w:val="both"/>
        <w:rPr>
          <w:sz w:val="24"/>
          <w:szCs w:val="24"/>
        </w:rPr>
      </w:pPr>
      <w:r w:rsidDel="00000000" w:rsidR="00000000" w:rsidRPr="00000000">
        <w:rPr>
          <w:sz w:val="24"/>
          <w:szCs w:val="24"/>
          <w:rtl w:val="0"/>
        </w:rPr>
        <w:t xml:space="preserve">Contextualizing the concept of a state based on law within the Indonesian constitutional system requires an approach that considers the nation's socio-cultural characteristics. Philipus M. Hadjon developed a theory that identifies Indonesia as a unique variant of </w:t>
      </w:r>
      <w:r w:rsidDel="00000000" w:rsidR="00000000" w:rsidRPr="00000000">
        <w:rPr>
          <w:i w:val="1"/>
          <w:sz w:val="24"/>
          <w:szCs w:val="24"/>
          <w:rtl w:val="0"/>
        </w:rPr>
        <w:t xml:space="preserve">the rule of law </w:t>
      </w:r>
      <w:r w:rsidDel="00000000" w:rsidR="00000000" w:rsidRPr="00000000">
        <w:rPr>
          <w:sz w:val="24"/>
          <w:szCs w:val="24"/>
          <w:rtl w:val="0"/>
        </w:rPr>
        <w:t xml:space="preserve">and </w:t>
      </w:r>
      <w:r w:rsidDel="00000000" w:rsidR="00000000" w:rsidRPr="00000000">
        <w:rPr>
          <w:i w:val="1"/>
          <w:sz w:val="24"/>
          <w:szCs w:val="24"/>
          <w:rtl w:val="0"/>
        </w:rPr>
        <w:t xml:space="preserve">a social democratic state </w:t>
      </w:r>
      <w:r w:rsidDel="00000000" w:rsidR="00000000" w:rsidRPr="00000000">
        <w:rPr>
          <w:sz w:val="24"/>
          <w:szCs w:val="24"/>
          <w:rtl w:val="0"/>
        </w:rPr>
        <w:t xml:space="preserve">or </w:t>
      </w:r>
      <w:r w:rsidDel="00000000" w:rsidR="00000000" w:rsidRPr="00000000">
        <w:rPr>
          <w:i w:val="1"/>
          <w:sz w:val="24"/>
          <w:szCs w:val="24"/>
          <w:rtl w:val="0"/>
        </w:rPr>
        <w:t xml:space="preserve">welvarsstaat </w:t>
      </w:r>
      <w:r w:rsidDel="00000000" w:rsidR="00000000" w:rsidRPr="00000000">
        <w:rPr>
          <w:sz w:val="24"/>
          <w:szCs w:val="24"/>
          <w:rtl w:val="0"/>
        </w:rPr>
        <w:t xml:space="preserve">. According to Hadjon, every concept of a state based on law, including the Pancasila state based on law, inherently recognizes the supremacy of law, meaning that government must be based on law. The principles of just and civilized humanity in Pancasila essentially reflect equal rights, guaranteed justice, individual security, and protection of community rights, which align with the principle of </w:t>
      </w:r>
      <w:r w:rsidDel="00000000" w:rsidR="00000000" w:rsidRPr="00000000">
        <w:rPr>
          <w:i w:val="1"/>
          <w:sz w:val="24"/>
          <w:szCs w:val="24"/>
          <w:rtl w:val="0"/>
        </w:rPr>
        <w:t xml:space="preserve">equality before the law </w:t>
      </w:r>
      <w:r w:rsidDel="00000000" w:rsidR="00000000" w:rsidRPr="00000000">
        <w:rPr>
          <w:sz w:val="24"/>
          <w:szCs w:val="24"/>
          <w:rtl w:val="0"/>
        </w:rPr>
        <w:t xml:space="preserve">. The principle of social justice for all Indonesians shares the same essence as the concept of </w:t>
      </w:r>
      <w:r w:rsidDel="00000000" w:rsidR="00000000" w:rsidRPr="00000000">
        <w:rPr>
          <w:i w:val="1"/>
          <w:sz w:val="24"/>
          <w:szCs w:val="24"/>
          <w:rtl w:val="0"/>
        </w:rPr>
        <w:t xml:space="preserve">a social democratic state, </w:t>
      </w:r>
      <w:r w:rsidDel="00000000" w:rsidR="00000000" w:rsidRPr="00000000">
        <w:rPr>
          <w:sz w:val="24"/>
          <w:szCs w:val="24"/>
          <w:rtl w:val="0"/>
        </w:rPr>
        <w:t xml:space="preserve">which emphasizes the role of the state in realizing social welfare.</w:t>
      </w:r>
    </w:p>
    <w:p w:rsidR="00000000" w:rsidDel="00000000" w:rsidP="00000000" w:rsidRDefault="00000000" w:rsidRPr="00000000" w14:paraId="00000022">
      <w:pPr>
        <w:spacing w:line="276" w:lineRule="auto"/>
        <w:ind w:left="0" w:firstLine="720"/>
        <w:jc w:val="both"/>
        <w:rPr>
          <w:sz w:val="24"/>
          <w:szCs w:val="24"/>
        </w:rPr>
      </w:pPr>
      <w:r w:rsidDel="00000000" w:rsidR="00000000" w:rsidRPr="00000000">
        <w:rPr>
          <w:sz w:val="24"/>
          <w:szCs w:val="24"/>
          <w:rtl w:val="0"/>
        </w:rPr>
        <w:t xml:space="preserve">Based on this theoretical framework, the theory of the rule of law has a very strong correlation with research on the problems of recognizing Minangkabau customary land ownership rights because it provides a constitutional framework for analyzing the state's obligations in protecting the rights of indigenous peoples. As a state based on law based on Article 1 paragraph (3) of the 1945 Constitution of the Republic of Indonesia, Indonesia has a constitutional obligation to recognize and protect the traditional rights of indigenous peoples to customary land within the framework of the rule of law and the principle of </w:t>
      </w:r>
      <w:r w:rsidDel="00000000" w:rsidR="00000000" w:rsidRPr="00000000">
        <w:rPr>
          <w:i w:val="1"/>
          <w:sz w:val="24"/>
          <w:szCs w:val="24"/>
          <w:rtl w:val="0"/>
        </w:rPr>
        <w:t xml:space="preserve">equality before the law </w:t>
      </w:r>
      <w:r w:rsidDel="00000000" w:rsidR="00000000" w:rsidRPr="00000000">
        <w:rPr>
          <w:sz w:val="24"/>
          <w:szCs w:val="24"/>
          <w:rtl w:val="0"/>
        </w:rPr>
        <w:t xml:space="preserve">. The principles of the rule of law such as the protection of human rights, government based on law, and social justice become the normative basis for analyzing the tension between the individualistic positive legal system and the communal ownership system of the Minangkabau indigenous people.</w:t>
      </w:r>
    </w:p>
    <w:p w:rsidR="00000000" w:rsidDel="00000000" w:rsidP="00000000" w:rsidRDefault="00000000" w:rsidRPr="00000000" w14:paraId="00000023">
      <w:pPr>
        <w:spacing w:line="276" w:lineRule="auto"/>
        <w:ind w:left="2880" w:firstLine="0"/>
        <w:jc w:val="both"/>
        <w:rPr>
          <w:b w:val="1"/>
          <w:sz w:val="24"/>
          <w:szCs w:val="24"/>
        </w:rPr>
      </w:pPr>
      <w:r w:rsidDel="00000000" w:rsidR="00000000" w:rsidRPr="00000000">
        <w:rPr>
          <w:rtl w:val="0"/>
        </w:rPr>
      </w:r>
    </w:p>
    <w:p w:rsidR="00000000" w:rsidDel="00000000" w:rsidP="00000000" w:rsidRDefault="00000000" w:rsidRPr="00000000" w14:paraId="00000024">
      <w:pPr>
        <w:spacing w:line="276" w:lineRule="auto"/>
        <w:ind w:left="0" w:firstLine="720"/>
        <w:jc w:val="both"/>
        <w:rPr>
          <w:b w:val="1"/>
          <w:sz w:val="24"/>
          <w:szCs w:val="24"/>
        </w:rPr>
      </w:pPr>
      <w:r w:rsidDel="00000000" w:rsidR="00000000" w:rsidRPr="00000000">
        <w:rPr>
          <w:b w:val="1"/>
          <w:sz w:val="24"/>
          <w:szCs w:val="24"/>
          <w:rtl w:val="0"/>
        </w:rPr>
        <w:t xml:space="preserve">2.2. Theory of Legal Protection and Certainty</w:t>
      </w:r>
    </w:p>
    <w:p w:rsidR="00000000" w:rsidDel="00000000" w:rsidP="00000000" w:rsidRDefault="00000000" w:rsidRPr="00000000" w14:paraId="00000025">
      <w:pPr>
        <w:spacing w:line="276" w:lineRule="auto"/>
        <w:ind w:left="284" w:firstLine="425.00000000000006"/>
        <w:jc w:val="both"/>
        <w:rPr>
          <w:sz w:val="24"/>
          <w:szCs w:val="24"/>
        </w:rPr>
      </w:pPr>
      <w:r w:rsidDel="00000000" w:rsidR="00000000" w:rsidRPr="00000000">
        <w:rPr>
          <w:sz w:val="24"/>
          <w:szCs w:val="24"/>
          <w:rtl w:val="0"/>
        </w:rPr>
        <w:t xml:space="preserve">The concept of legal protection in a grammatical perspective has a multidimensional meaning, both as a place of refuge and as an active effort in providing protection to legal subjects. The definition of protecting includes three fundamental aspects, namely covering so that it is not seen or visible, guarding, caring for or maintaining, and saving or providing assistance to parties in need. Legal protection according to I Gusti Agung Oka Diatmika is defined as protection provided to legal subjects from arbitrary actions by someone, in the form of legal instruments, both preventive and repressive, both written and unwritten. This concept reflects the function of law as an instrument capable of providing justice, certainty, benefit, and peace for all legal subjects in society.</w:t>
      </w:r>
    </w:p>
    <w:p w:rsidR="00000000" w:rsidDel="00000000" w:rsidP="00000000" w:rsidRDefault="00000000" w:rsidRPr="00000000" w14:paraId="00000026">
      <w:pPr>
        <w:spacing w:line="276" w:lineRule="auto"/>
        <w:ind w:left="284" w:firstLine="425.00000000000006"/>
        <w:jc w:val="both"/>
        <w:rPr>
          <w:sz w:val="24"/>
          <w:szCs w:val="24"/>
        </w:rPr>
      </w:pPr>
      <w:r w:rsidDel="00000000" w:rsidR="00000000" w:rsidRPr="00000000">
        <w:rPr>
          <w:sz w:val="24"/>
          <w:szCs w:val="24"/>
          <w:rtl w:val="0"/>
        </w:rPr>
        <w:t xml:space="preserve">Effective legal protection requires a strong foundation of legal certainty as a prerequisite for achieving optimal protection. The theory of legal certainty underwent conceptual development through the thinking of Gustav Radbruch, who formulated three main objectives of law: justice, utility, and legal certainty. Radbruch acknowledged that legal certainty essentially reflects power, but also recognized that legal certainty can justify unwise and unjust laws. Hans Kelsen reinforced this through his theory of legal validity, which requires seven criteria for a legal rule to be valid, namely:</w:t>
      </w:r>
    </w:p>
    <w:p w:rsidR="00000000" w:rsidDel="00000000" w:rsidP="00000000" w:rsidRDefault="00000000" w:rsidRPr="00000000" w14:paraId="00000027">
      <w:pPr>
        <w:numPr>
          <w:ilvl w:val="0"/>
          <w:numId w:val="6"/>
        </w:numPr>
        <w:spacing w:line="276" w:lineRule="auto"/>
        <w:ind w:left="1080" w:hanging="360"/>
        <w:jc w:val="both"/>
        <w:rPr>
          <w:sz w:val="24"/>
          <w:szCs w:val="24"/>
        </w:rPr>
      </w:pPr>
      <w:r w:rsidDel="00000000" w:rsidR="00000000" w:rsidRPr="00000000">
        <w:rPr>
          <w:sz w:val="24"/>
          <w:szCs w:val="24"/>
          <w:rtl w:val="0"/>
        </w:rPr>
        <w:t xml:space="preserve">These legal rules must be formulated into various forms of formal rules, such as in the form of articles of the Constitution, laws and so on.</w:t>
      </w:r>
    </w:p>
    <w:p w:rsidR="00000000" w:rsidDel="00000000" w:rsidP="00000000" w:rsidRDefault="00000000" w:rsidRPr="00000000" w14:paraId="00000028">
      <w:pPr>
        <w:numPr>
          <w:ilvl w:val="0"/>
          <w:numId w:val="6"/>
        </w:numPr>
        <w:spacing w:line="276" w:lineRule="auto"/>
        <w:ind w:left="1080" w:hanging="360"/>
        <w:jc w:val="both"/>
        <w:rPr>
          <w:sz w:val="24"/>
          <w:szCs w:val="24"/>
        </w:rPr>
      </w:pPr>
      <w:r w:rsidDel="00000000" w:rsidR="00000000" w:rsidRPr="00000000">
        <w:rPr>
          <w:sz w:val="24"/>
          <w:szCs w:val="24"/>
          <w:rtl w:val="0"/>
        </w:rPr>
        <w:t xml:space="preserve">These formal rules must be made legally, for example if they are in the form of laws they must be made by parliament (together with the government).</w:t>
      </w:r>
    </w:p>
    <w:p w:rsidR="00000000" w:rsidDel="00000000" w:rsidP="00000000" w:rsidRDefault="00000000" w:rsidRPr="00000000" w14:paraId="00000029">
      <w:pPr>
        <w:numPr>
          <w:ilvl w:val="0"/>
          <w:numId w:val="6"/>
        </w:numPr>
        <w:spacing w:line="276" w:lineRule="auto"/>
        <w:ind w:left="1080" w:hanging="360"/>
        <w:jc w:val="both"/>
        <w:rPr>
          <w:sz w:val="24"/>
          <w:szCs w:val="24"/>
        </w:rPr>
      </w:pPr>
      <w:r w:rsidDel="00000000" w:rsidR="00000000" w:rsidRPr="00000000">
        <w:rPr>
          <w:sz w:val="24"/>
          <w:szCs w:val="24"/>
          <w:rtl w:val="0"/>
        </w:rPr>
        <w:t xml:space="preserve">Legally, this legal rule cannot be revoked.</w:t>
      </w:r>
    </w:p>
    <w:p w:rsidR="00000000" w:rsidDel="00000000" w:rsidP="00000000" w:rsidRDefault="00000000" w:rsidRPr="00000000" w14:paraId="0000002A">
      <w:pPr>
        <w:numPr>
          <w:ilvl w:val="0"/>
          <w:numId w:val="6"/>
        </w:numPr>
        <w:spacing w:line="276" w:lineRule="auto"/>
        <w:ind w:left="1080" w:hanging="360"/>
        <w:jc w:val="both"/>
        <w:rPr>
          <w:sz w:val="24"/>
          <w:szCs w:val="24"/>
        </w:rPr>
      </w:pPr>
      <w:r w:rsidDel="00000000" w:rsidR="00000000" w:rsidRPr="00000000">
        <w:rPr>
          <w:sz w:val="24"/>
          <w:szCs w:val="24"/>
          <w:rtl w:val="0"/>
        </w:rPr>
        <w:t xml:space="preserve">There are no other legal flaws in these formal regulations, for example, they do not conflict with higher regulations.</w:t>
      </w:r>
    </w:p>
    <w:p w:rsidR="00000000" w:rsidDel="00000000" w:rsidP="00000000" w:rsidRDefault="00000000" w:rsidRPr="00000000" w14:paraId="0000002B">
      <w:pPr>
        <w:numPr>
          <w:ilvl w:val="0"/>
          <w:numId w:val="6"/>
        </w:numPr>
        <w:spacing w:line="276" w:lineRule="auto"/>
        <w:ind w:left="1080" w:hanging="360"/>
        <w:jc w:val="both"/>
        <w:rPr>
          <w:sz w:val="24"/>
          <w:szCs w:val="24"/>
        </w:rPr>
      </w:pPr>
      <w:r w:rsidDel="00000000" w:rsidR="00000000" w:rsidRPr="00000000">
        <w:rPr>
          <w:sz w:val="24"/>
          <w:szCs w:val="24"/>
          <w:rtl w:val="0"/>
        </w:rPr>
        <w:t xml:space="preserve">These legal rules must be applicable to legal bodies and implementers, such as courts, police and prosecutors.</w:t>
      </w:r>
    </w:p>
    <w:p w:rsidR="00000000" w:rsidDel="00000000" w:rsidP="00000000" w:rsidRDefault="00000000" w:rsidRPr="00000000" w14:paraId="0000002C">
      <w:pPr>
        <w:numPr>
          <w:ilvl w:val="0"/>
          <w:numId w:val="6"/>
        </w:numPr>
        <w:spacing w:line="276" w:lineRule="auto"/>
        <w:ind w:left="1080" w:hanging="360"/>
        <w:jc w:val="both"/>
        <w:rPr>
          <w:sz w:val="24"/>
          <w:szCs w:val="24"/>
        </w:rPr>
      </w:pPr>
      <w:r w:rsidDel="00000000" w:rsidR="00000000" w:rsidRPr="00000000">
        <w:rPr>
          <w:sz w:val="24"/>
          <w:szCs w:val="24"/>
          <w:rtl w:val="0"/>
        </w:rPr>
        <w:t xml:space="preserve">These legal rules must be accepted and obeyed by society.</w:t>
      </w:r>
    </w:p>
    <w:p w:rsidR="00000000" w:rsidDel="00000000" w:rsidP="00000000" w:rsidRDefault="00000000" w:rsidRPr="00000000" w14:paraId="0000002D">
      <w:pPr>
        <w:numPr>
          <w:ilvl w:val="0"/>
          <w:numId w:val="6"/>
        </w:numPr>
        <w:spacing w:line="276" w:lineRule="auto"/>
        <w:ind w:left="1080" w:hanging="360"/>
        <w:jc w:val="both"/>
        <w:rPr>
          <w:sz w:val="24"/>
          <w:szCs w:val="24"/>
        </w:rPr>
      </w:pPr>
      <w:r w:rsidDel="00000000" w:rsidR="00000000" w:rsidRPr="00000000">
        <w:rPr>
          <w:sz w:val="24"/>
          <w:szCs w:val="24"/>
          <w:rtl w:val="0"/>
        </w:rPr>
        <w:t xml:space="preserve">These legal rules must be in accordance with the spirit of the nation concerned.</w:t>
      </w:r>
    </w:p>
    <w:p w:rsidR="00000000" w:rsidDel="00000000" w:rsidP="00000000" w:rsidRDefault="00000000" w:rsidRPr="00000000" w14:paraId="0000002E">
      <w:pPr>
        <w:spacing w:line="276" w:lineRule="auto"/>
        <w:ind w:firstLine="709"/>
        <w:jc w:val="both"/>
        <w:rPr>
          <w:sz w:val="24"/>
          <w:szCs w:val="24"/>
        </w:rPr>
      </w:pPr>
      <w:r w:rsidDel="00000000" w:rsidR="00000000" w:rsidRPr="00000000">
        <w:rPr>
          <w:sz w:val="24"/>
          <w:szCs w:val="24"/>
          <w:rtl w:val="0"/>
        </w:rPr>
        <w:t xml:space="preserve">The integration of protection and legal certainty theories is strongly relevant to the recognition of Minangkabau customary land ownership rights because it provides a normative framework for analyzing the state's obligations to protect the traditional rights of indigenous peoples. Preventive legal protection is necessary in the process of formulating regulations such as Government Regulation 18 of 2021 so that indigenous peoples can provide input and object to policies that could potentially threaten the existence of customary land as a high-priority heritage. Legal certainty in the context of customary land faces challenges because the individualistic positive legal system has the potential to conflict with the communal ownership system of the Minangkabau indigenous people. Repressive legal protection becomes crucial when disputes arise between indigenous peoples and corporations or governments that claim customary land without the consent of the indigenous peoples.</w:t>
      </w:r>
    </w:p>
    <w:p w:rsidR="00000000" w:rsidDel="00000000" w:rsidP="00000000" w:rsidRDefault="00000000" w:rsidRPr="00000000" w14:paraId="0000002F">
      <w:pPr>
        <w:spacing w:line="276"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30">
      <w:pPr>
        <w:spacing w:line="276" w:lineRule="auto"/>
        <w:ind w:left="0" w:firstLine="720"/>
        <w:jc w:val="both"/>
        <w:rPr>
          <w:b w:val="1"/>
          <w:sz w:val="24"/>
          <w:szCs w:val="24"/>
        </w:rPr>
      </w:pPr>
      <w:r w:rsidDel="00000000" w:rsidR="00000000" w:rsidRPr="00000000">
        <w:rPr>
          <w:b w:val="1"/>
          <w:sz w:val="24"/>
          <w:szCs w:val="24"/>
          <w:rtl w:val="0"/>
        </w:rPr>
        <w:t xml:space="preserve">2.3. Previous Research</w:t>
      </w:r>
    </w:p>
    <w:p w:rsidR="00000000" w:rsidDel="00000000" w:rsidP="00000000" w:rsidRDefault="00000000" w:rsidRPr="00000000" w14:paraId="00000031">
      <w:pPr>
        <w:spacing w:line="276" w:lineRule="auto"/>
        <w:ind w:left="0" w:firstLine="720"/>
        <w:jc w:val="both"/>
        <w:rPr>
          <w:sz w:val="24"/>
          <w:szCs w:val="24"/>
        </w:rPr>
      </w:pPr>
      <w:r w:rsidDel="00000000" w:rsidR="00000000" w:rsidRPr="00000000">
        <w:rPr>
          <w:sz w:val="24"/>
          <w:szCs w:val="24"/>
          <w:rtl w:val="0"/>
        </w:rPr>
        <w:t xml:space="preserve">Several previous studies have examined specific aspects of customary land and management rights. Dr. Gamal Abdul Nasir (2021) examined “Changes in the Value of Customary Land Ownership,” focusing on preventing conflict resulting from the transformation of traditional values. Dr. Helmy Panuh (2011) examined “Management of Nagari Customary Land in the Era of Government Decentralization in West Sumatra,” emphasizing the role of the Nagari Customary Council in the era of decentralization. Dr. Rildo Ananda Anwar examined “The Existence, Utilization, and Prospects of Management Rights (HPL) Number 1/Gelora,” analyzing the legal status of HPL in national land law. These three studies have not specifically addressed the problem of recognizing customary land ownership rights in the Minangkabau matrilineal system.</w:t>
      </w:r>
    </w:p>
    <w:p w:rsidR="00000000" w:rsidDel="00000000" w:rsidP="00000000" w:rsidRDefault="00000000" w:rsidRPr="00000000" w14:paraId="00000032">
      <w:pPr>
        <w:spacing w:line="276" w:lineRule="auto"/>
        <w:ind w:left="0" w:firstLine="720"/>
        <w:jc w:val="both"/>
        <w:rPr>
          <w:sz w:val="24"/>
          <w:szCs w:val="24"/>
        </w:rPr>
      </w:pPr>
      <w:r w:rsidDel="00000000" w:rsidR="00000000" w:rsidRPr="00000000">
        <w:rPr>
          <w:sz w:val="24"/>
          <w:szCs w:val="24"/>
          <w:rtl w:val="0"/>
        </w:rPr>
        <w:t xml:space="preserve">The novelty of this research lies in its comprehensive analysis of the normative conflict between the Minangkabau customary communal ownership system, which is based on customary philosophy, and the national land law system, which tends to be individualistic. This research specifically discusses the existence of high inheritance in the Minangkabau matrilineal system. The focus of the discussion is directed at reconstructing the concept of customary land ownership regulations that can accommodate communal characteristics while providing legal certainty for indigenous communities. This research also analyzes the regulatory gap between the mechanism for recognizing customary land ownership rights according to Minangkabau customary law and the procedure for recognizing land rights in the national legal system that can bridge the gap between formal state recognition and customary legitimacy in the context of customary land ownership, as well as analyzing the legal protection mechanisms needed to prevent ownership conflicts and ensure the continued existence of the Minangkabau matrilineal system within the national legal framework.</w:t>
      </w:r>
    </w:p>
    <w:p w:rsidR="00000000" w:rsidDel="00000000" w:rsidP="00000000" w:rsidRDefault="00000000" w:rsidRPr="00000000" w14:paraId="00000033">
      <w:pPr>
        <w:spacing w:line="276" w:lineRule="auto"/>
        <w:ind w:firstLine="709"/>
        <w:jc w:val="both"/>
        <w:rPr>
          <w:sz w:val="24"/>
          <w:szCs w:val="24"/>
        </w:rPr>
      </w:pPr>
      <w:r w:rsidDel="00000000" w:rsidR="00000000" w:rsidRPr="00000000">
        <w:rPr>
          <w:rtl w:val="0"/>
        </w:rPr>
      </w:r>
    </w:p>
    <w:p w:rsidR="00000000" w:rsidDel="00000000" w:rsidP="00000000" w:rsidRDefault="00000000" w:rsidRPr="00000000" w14:paraId="00000034">
      <w:pPr>
        <w:pStyle w:val="Heading2"/>
        <w:keepLines w:val="1"/>
        <w:spacing w:after="0" w:before="0" w:line="276" w:lineRule="auto"/>
        <w:ind w:left="0" w:firstLine="720"/>
        <w:jc w:val="both"/>
        <w:rPr>
          <w:i w:val="0"/>
          <w:sz w:val="24"/>
          <w:szCs w:val="24"/>
        </w:rPr>
      </w:pPr>
      <w:r w:rsidDel="00000000" w:rsidR="00000000" w:rsidRPr="00000000">
        <w:rPr>
          <w:i w:val="0"/>
          <w:sz w:val="24"/>
          <w:szCs w:val="24"/>
          <w:rtl w:val="0"/>
        </w:rPr>
        <w:t xml:space="preserve">3. RESEARCH METHODS</w:t>
      </w:r>
    </w:p>
    <w:p w:rsidR="00000000" w:rsidDel="00000000" w:rsidP="00000000" w:rsidRDefault="00000000" w:rsidRPr="00000000" w14:paraId="00000035">
      <w:pPr>
        <w:spacing w:line="276" w:lineRule="auto"/>
        <w:ind w:left="0" w:firstLine="720"/>
        <w:jc w:val="both"/>
        <w:rPr>
          <w:sz w:val="24"/>
          <w:szCs w:val="24"/>
        </w:rPr>
      </w:pPr>
      <w:r w:rsidDel="00000000" w:rsidR="00000000" w:rsidRPr="00000000">
        <w:rPr>
          <w:sz w:val="24"/>
          <w:szCs w:val="24"/>
          <w:rtl w:val="0"/>
        </w:rPr>
        <w:t xml:space="preserve">The type of research chosen in this paper is normative legal research of a juridical nature, which is basically carried out through a study of library materials or secondary data sources. This research method is often identified as theoretical legal research, which positions law as something contained in written legislation ( </w:t>
      </w:r>
      <w:r w:rsidDel="00000000" w:rsidR="00000000" w:rsidRPr="00000000">
        <w:rPr>
          <w:i w:val="1"/>
          <w:sz w:val="24"/>
          <w:szCs w:val="24"/>
          <w:rtl w:val="0"/>
        </w:rPr>
        <w:t xml:space="preserve">law in books </w:t>
      </w:r>
      <w:r w:rsidDel="00000000" w:rsidR="00000000" w:rsidRPr="00000000">
        <w:rPr>
          <w:sz w:val="24"/>
          <w:szCs w:val="24"/>
          <w:rtl w:val="0"/>
        </w:rPr>
        <w:t xml:space="preserve">) or as a normative rule that serves as a reference for human behavior that is in accordance with accepted standards .  This research applies two main approaches: the Statute Approach </w:t>
      </w:r>
      <w:r w:rsidDel="00000000" w:rsidR="00000000" w:rsidRPr="00000000">
        <w:rPr>
          <w:i w:val="1"/>
          <w:sz w:val="24"/>
          <w:szCs w:val="24"/>
          <w:rtl w:val="0"/>
        </w:rPr>
        <w:t xml:space="preserve">, </w:t>
      </w:r>
      <w:r w:rsidDel="00000000" w:rsidR="00000000" w:rsidRPr="00000000">
        <w:rPr>
          <w:sz w:val="24"/>
          <w:szCs w:val="24"/>
          <w:rtl w:val="0"/>
        </w:rPr>
        <w:t xml:space="preserve">which examines laws and regulations related to the research topic. In accordance with the type of research, the types of data used consist of primary legal materials consisting of laws and regulations related to customary law communities, land and related matters. Secondary legal materials, namely materials that are closely related to primary legal materials and can help analyze primary legal materials such as scientific works, doctrines in the form of books and writings of legal experts. Tertiary legal materials, namely materials that provide guidance or explanations to primary legal materials and secondary legal materials. </w:t>
      </w:r>
    </w:p>
    <w:p w:rsidR="00000000" w:rsidDel="00000000" w:rsidP="00000000" w:rsidRDefault="00000000" w:rsidRPr="00000000" w14:paraId="00000036">
      <w:pPr>
        <w:spacing w:line="276" w:lineRule="auto"/>
        <w:ind w:firstLine="0"/>
        <w:jc w:val="both"/>
        <w:rPr>
          <w:sz w:val="24"/>
          <w:szCs w:val="24"/>
        </w:rPr>
      </w:pPr>
      <w:r w:rsidDel="00000000" w:rsidR="00000000" w:rsidRPr="00000000">
        <w:rPr>
          <w:rtl w:val="0"/>
        </w:rPr>
      </w:r>
    </w:p>
    <w:p w:rsidR="00000000" w:rsidDel="00000000" w:rsidP="00000000" w:rsidRDefault="00000000" w:rsidRPr="00000000" w14:paraId="00000037">
      <w:pPr>
        <w:pStyle w:val="Heading2"/>
        <w:keepLines w:val="1"/>
        <w:spacing w:after="0" w:before="0" w:line="276" w:lineRule="auto"/>
        <w:ind w:left="0" w:firstLine="0"/>
        <w:jc w:val="both"/>
        <w:rPr>
          <w:i w:val="0"/>
          <w:sz w:val="24"/>
          <w:szCs w:val="24"/>
        </w:rPr>
      </w:pPr>
      <w:r w:rsidDel="00000000" w:rsidR="00000000" w:rsidRPr="00000000">
        <w:rPr>
          <w:i w:val="0"/>
          <w:sz w:val="24"/>
          <w:szCs w:val="24"/>
          <w:rtl w:val="0"/>
        </w:rPr>
        <w:t xml:space="preserve">4. RESULTS AND DISCUSSIONS</w:t>
      </w:r>
    </w:p>
    <w:p w:rsidR="00000000" w:rsidDel="00000000" w:rsidP="00000000" w:rsidRDefault="00000000" w:rsidRPr="00000000" w14:paraId="00000038">
      <w:pPr>
        <w:numPr>
          <w:ilvl w:val="0"/>
          <w:numId w:val="1"/>
        </w:numPr>
        <w:spacing w:line="276" w:lineRule="auto"/>
        <w:ind w:left="709" w:hanging="567"/>
        <w:jc w:val="both"/>
        <w:rPr>
          <w:b w:val="1"/>
          <w:sz w:val="24"/>
          <w:szCs w:val="24"/>
        </w:rPr>
      </w:pPr>
      <w:r w:rsidDel="00000000" w:rsidR="00000000" w:rsidRPr="00000000">
        <w:rPr>
          <w:b w:val="1"/>
          <w:sz w:val="24"/>
          <w:szCs w:val="24"/>
          <w:rtl w:val="0"/>
        </w:rPr>
        <w:t xml:space="preserve">Characteristics of the Customary Land Ownership System Based on Minangkabau Customary Law</w:t>
      </w:r>
    </w:p>
    <w:p w:rsidR="00000000" w:rsidDel="00000000" w:rsidP="00000000" w:rsidRDefault="00000000" w:rsidRPr="00000000" w14:paraId="00000039">
      <w:pPr>
        <w:spacing w:line="276" w:lineRule="auto"/>
        <w:ind w:left="142" w:firstLine="567"/>
        <w:jc w:val="both"/>
        <w:rPr>
          <w:sz w:val="24"/>
          <w:szCs w:val="24"/>
        </w:rPr>
      </w:pPr>
      <w:r w:rsidDel="00000000" w:rsidR="00000000" w:rsidRPr="00000000">
        <w:rPr>
          <w:sz w:val="24"/>
          <w:szCs w:val="24"/>
          <w:rtl w:val="0"/>
        </w:rPr>
        <w:t xml:space="preserve">The Minangkabau customary law community has a customary land ownership system based on the philosophy of “ </w:t>
      </w:r>
      <w:r w:rsidDel="00000000" w:rsidR="00000000" w:rsidRPr="00000000">
        <w:rPr>
          <w:i w:val="1"/>
          <w:sz w:val="24"/>
          <w:szCs w:val="24"/>
          <w:rtl w:val="0"/>
        </w:rPr>
        <w:t xml:space="preserve">adat basandi syarak, syarak basandi Kitabullah </w:t>
      </w:r>
      <w:r w:rsidDel="00000000" w:rsidR="00000000" w:rsidRPr="00000000">
        <w:rPr>
          <w:sz w:val="24"/>
          <w:szCs w:val="24"/>
          <w:rtl w:val="0"/>
        </w:rPr>
        <w:t xml:space="preserve">“ which reflects the harmony between traditional values and Islamic teachings. This philosophy regulates all aspects of the life of the Minangkabau people, including their perspective on the ownership and management of customary land. Customary land for the Minangkabau people is not merely a legal object or economic commodity, but rather a spiritual, social, cultural, and economic foundation that binds all members of society in a communal unity. The system of “ </w:t>
      </w:r>
      <w:r w:rsidDel="00000000" w:rsidR="00000000" w:rsidRPr="00000000">
        <w:rPr>
          <w:i w:val="1"/>
          <w:sz w:val="24"/>
          <w:szCs w:val="24"/>
          <w:rtl w:val="0"/>
        </w:rPr>
        <w:t xml:space="preserve">hutan jauah baulangi, hutan dakek bukandano </w:t>
      </w:r>
      <w:r w:rsidDel="00000000" w:rsidR="00000000" w:rsidRPr="00000000">
        <w:rPr>
          <w:sz w:val="24"/>
          <w:szCs w:val="24"/>
          <w:rtl w:val="0"/>
        </w:rPr>
        <w:t xml:space="preserve">“ shows that there is not a single inch of land in Minangkabau that does not have a customary owner or ruler. This principle of ownership has been deeply rooted since their ancestors inhabited the Minangkabau region and has become the basis for the legitimacy of customary land ownership to this day.</w:t>
      </w:r>
    </w:p>
    <w:p w:rsidR="00000000" w:rsidDel="00000000" w:rsidP="00000000" w:rsidRDefault="00000000" w:rsidRPr="00000000" w14:paraId="0000003A">
      <w:pPr>
        <w:spacing w:line="276" w:lineRule="auto"/>
        <w:ind w:left="142" w:firstLine="567"/>
        <w:jc w:val="both"/>
        <w:rPr>
          <w:sz w:val="24"/>
          <w:szCs w:val="24"/>
        </w:rPr>
      </w:pPr>
      <w:r w:rsidDel="00000000" w:rsidR="00000000" w:rsidRPr="00000000">
        <w:rPr>
          <w:sz w:val="24"/>
          <w:szCs w:val="24"/>
          <w:rtl w:val="0"/>
        </w:rPr>
        <w:t xml:space="preserve">This ownership philosophy is embodied in the matrilineal kinship system, which creates a land ownership pattern fundamentally different from the concept of individual ownership in Indonesian positive law. Ownership of customary land is communal and hereditary through the maternal line ( </w:t>
      </w:r>
      <w:r w:rsidDel="00000000" w:rsidR="00000000" w:rsidRPr="00000000">
        <w:rPr>
          <w:i w:val="1"/>
          <w:sz w:val="24"/>
          <w:szCs w:val="24"/>
          <w:rtl w:val="0"/>
        </w:rPr>
        <w:t xml:space="preserve">matrilineal </w:t>
      </w:r>
      <w:r w:rsidDel="00000000" w:rsidR="00000000" w:rsidRPr="00000000">
        <w:rPr>
          <w:sz w:val="24"/>
          <w:szCs w:val="24"/>
          <w:rtl w:val="0"/>
        </w:rPr>
        <w:t xml:space="preserve">), with genealogical factors as the basis for community organization. This system recognizes that the holders of customary rights are territorial customary law communities, namely residents who reside in the same area such as nagari in Minangkabau. The matrilineal system recognizes the concept of “ </w:t>
      </w:r>
      <w:r w:rsidDel="00000000" w:rsidR="00000000" w:rsidRPr="00000000">
        <w:rPr>
          <w:i w:val="1"/>
          <w:sz w:val="24"/>
          <w:szCs w:val="24"/>
          <w:rtl w:val="0"/>
        </w:rPr>
        <w:t xml:space="preserve">basako </w:t>
      </w:r>
      <w:r w:rsidDel="00000000" w:rsidR="00000000" w:rsidRPr="00000000">
        <w:rPr>
          <w:sz w:val="24"/>
          <w:szCs w:val="24"/>
          <w:rtl w:val="0"/>
        </w:rPr>
        <w:t xml:space="preserve">“ in the form of immaterial wealth such as the title of chief ( </w:t>
      </w:r>
      <w:r w:rsidDel="00000000" w:rsidR="00000000" w:rsidRPr="00000000">
        <w:rPr>
          <w:i w:val="1"/>
          <w:sz w:val="24"/>
          <w:szCs w:val="24"/>
          <w:rtl w:val="0"/>
        </w:rPr>
        <w:t xml:space="preserve">titik sako </w:t>
      </w:r>
      <w:r w:rsidDel="00000000" w:rsidR="00000000" w:rsidRPr="00000000">
        <w:rPr>
          <w:sz w:val="24"/>
          <w:szCs w:val="24"/>
          <w:rtl w:val="0"/>
        </w:rPr>
        <w:t xml:space="preserve">) and “ </w:t>
      </w:r>
      <w:r w:rsidDel="00000000" w:rsidR="00000000" w:rsidRPr="00000000">
        <w:rPr>
          <w:i w:val="1"/>
          <w:sz w:val="24"/>
          <w:szCs w:val="24"/>
          <w:rtl w:val="0"/>
        </w:rPr>
        <w:t xml:space="preserve">bapusako </w:t>
      </w:r>
      <w:r w:rsidDel="00000000" w:rsidR="00000000" w:rsidRPr="00000000">
        <w:rPr>
          <w:sz w:val="24"/>
          <w:szCs w:val="24"/>
          <w:rtl w:val="0"/>
        </w:rPr>
        <w:t xml:space="preserve">“ in the form of material wealth known as the high heirloom property of the clan. Control of the management and maintenance of the high heirloom property is held by the head of the waris as the guardian of custom and implementer of traditional rules.</w:t>
      </w:r>
    </w:p>
    <w:p w:rsidR="00000000" w:rsidDel="00000000" w:rsidP="00000000" w:rsidRDefault="00000000" w:rsidRPr="00000000" w14:paraId="0000003B">
      <w:pPr>
        <w:spacing w:line="276" w:lineRule="auto"/>
        <w:ind w:left="142" w:firstLine="567"/>
        <w:jc w:val="both"/>
        <w:rPr>
          <w:sz w:val="24"/>
          <w:szCs w:val="24"/>
        </w:rPr>
      </w:pPr>
      <w:r w:rsidDel="00000000" w:rsidR="00000000" w:rsidRPr="00000000">
        <w:rPr>
          <w:sz w:val="24"/>
          <w:szCs w:val="24"/>
          <w:rtl w:val="0"/>
        </w:rPr>
        <w:t xml:space="preserve">The concept of ownership in Minangkabau customary law can be categorized into two interrelated and complementary meanings, namely:</w:t>
      </w:r>
    </w:p>
    <w:p w:rsidR="00000000" w:rsidDel="00000000" w:rsidP="00000000" w:rsidRDefault="00000000" w:rsidRPr="00000000" w14:paraId="0000003C">
      <w:pPr>
        <w:numPr>
          <w:ilvl w:val="0"/>
          <w:numId w:val="3"/>
        </w:numPr>
        <w:spacing w:line="276" w:lineRule="auto"/>
        <w:ind w:left="993" w:hanging="426"/>
        <w:jc w:val="both"/>
        <w:rPr>
          <w:sz w:val="24"/>
          <w:szCs w:val="24"/>
        </w:rPr>
      </w:pPr>
      <w:r w:rsidDel="00000000" w:rsidR="00000000" w:rsidRPr="00000000">
        <w:rPr>
          <w:sz w:val="24"/>
          <w:szCs w:val="24"/>
          <w:rtl w:val="0"/>
        </w:rPr>
        <w:t xml:space="preserve">Ownership in the broad sense includes ownership of political power, culture, customs, religion, family (tribe), territory and wealth within the territory of the village.</w:t>
      </w:r>
    </w:p>
    <w:p w:rsidR="00000000" w:rsidDel="00000000" w:rsidP="00000000" w:rsidRDefault="00000000" w:rsidRPr="00000000" w14:paraId="0000003D">
      <w:pPr>
        <w:numPr>
          <w:ilvl w:val="0"/>
          <w:numId w:val="3"/>
        </w:numPr>
        <w:spacing w:line="276" w:lineRule="auto"/>
        <w:ind w:left="993" w:hanging="426"/>
        <w:jc w:val="both"/>
        <w:rPr>
          <w:sz w:val="24"/>
          <w:szCs w:val="24"/>
        </w:rPr>
      </w:pPr>
      <w:r w:rsidDel="00000000" w:rsidR="00000000" w:rsidRPr="00000000">
        <w:rPr>
          <w:sz w:val="24"/>
          <w:szCs w:val="24"/>
          <w:rtl w:val="0"/>
        </w:rPr>
        <w:t xml:space="preserve">Ownership in the narrow sense refers to wealth consisting of material wealth in the form of tangible objects such as land and movable objects, as well as immaterial wealth in the form of titles and customary powers.</w:t>
      </w:r>
    </w:p>
    <w:p w:rsidR="00000000" w:rsidDel="00000000" w:rsidP="00000000" w:rsidRDefault="00000000" w:rsidRPr="00000000" w14:paraId="0000003E">
      <w:pPr>
        <w:spacing w:line="276" w:lineRule="auto"/>
        <w:ind w:left="142" w:firstLine="0"/>
        <w:jc w:val="both"/>
        <w:rPr>
          <w:sz w:val="24"/>
          <w:szCs w:val="24"/>
        </w:rPr>
      </w:pPr>
      <w:r w:rsidDel="00000000" w:rsidR="00000000" w:rsidRPr="00000000">
        <w:rPr>
          <w:sz w:val="24"/>
          <w:szCs w:val="24"/>
          <w:rtl w:val="0"/>
        </w:rPr>
        <w:t xml:space="preserve">Thus, land is the most important and primary asset in the Minangkabau customary system because it serves as a binding factor between community members, ensuring clan integrity. This legal relationship between community members and the land collectively gives rise to customary rights to that land.</w:t>
      </w:r>
    </w:p>
    <w:p w:rsidR="00000000" w:rsidDel="00000000" w:rsidP="00000000" w:rsidRDefault="00000000" w:rsidRPr="00000000" w14:paraId="0000003F">
      <w:pPr>
        <w:spacing w:line="276" w:lineRule="auto"/>
        <w:ind w:left="142" w:firstLine="567"/>
        <w:jc w:val="both"/>
        <w:rPr>
          <w:sz w:val="24"/>
          <w:szCs w:val="24"/>
        </w:rPr>
      </w:pPr>
      <w:r w:rsidDel="00000000" w:rsidR="00000000" w:rsidRPr="00000000">
        <w:rPr>
          <w:sz w:val="24"/>
          <w:szCs w:val="24"/>
          <w:rtl w:val="0"/>
        </w:rPr>
        <w:t xml:space="preserve">The ownership structure of customary land is also regulated hierarchically into three levels based on Regional Regulation of West Sumatra Province Number 7 of 2023 concerning Customary Land, namely:</w:t>
      </w:r>
    </w:p>
    <w:p w:rsidR="00000000" w:rsidDel="00000000" w:rsidP="00000000" w:rsidRDefault="00000000" w:rsidRPr="00000000" w14:paraId="00000040">
      <w:pPr>
        <w:numPr>
          <w:ilvl w:val="0"/>
          <w:numId w:val="2"/>
        </w:numPr>
        <w:spacing w:line="276" w:lineRule="auto"/>
        <w:ind w:left="993" w:hanging="426"/>
        <w:jc w:val="both"/>
        <w:rPr>
          <w:sz w:val="24"/>
          <w:szCs w:val="24"/>
        </w:rPr>
      </w:pPr>
      <w:r w:rsidDel="00000000" w:rsidR="00000000" w:rsidRPr="00000000">
        <w:rPr>
          <w:sz w:val="24"/>
          <w:szCs w:val="24"/>
          <w:rtl w:val="0"/>
        </w:rPr>
        <w:t xml:space="preserve">The customary land of the nagari is controlled by the ninik mamak in the nagari who are gathered in the Nagari Customary Council (KAN) and function as reserves for the nagari community and its natural resources.</w:t>
      </w:r>
    </w:p>
    <w:p w:rsidR="00000000" w:rsidDel="00000000" w:rsidP="00000000" w:rsidRDefault="00000000" w:rsidRPr="00000000" w14:paraId="00000041">
      <w:pPr>
        <w:numPr>
          <w:ilvl w:val="0"/>
          <w:numId w:val="2"/>
        </w:numPr>
        <w:spacing w:line="276" w:lineRule="auto"/>
        <w:ind w:left="993" w:hanging="426"/>
        <w:jc w:val="both"/>
        <w:rPr>
          <w:sz w:val="24"/>
          <w:szCs w:val="24"/>
        </w:rPr>
      </w:pPr>
      <w:r w:rsidDel="00000000" w:rsidR="00000000" w:rsidRPr="00000000">
        <w:rPr>
          <w:sz w:val="24"/>
          <w:szCs w:val="24"/>
          <w:rtl w:val="0"/>
        </w:rPr>
        <w:t xml:space="preserve">Tribal customary land is owned by all members of a particular tribe who are led by a tribal leader and is ancestral land and reserves for all tribal members in the nagari.</w:t>
      </w:r>
    </w:p>
    <w:p w:rsidR="00000000" w:rsidDel="00000000" w:rsidP="00000000" w:rsidRDefault="00000000" w:rsidRPr="00000000" w14:paraId="00000042">
      <w:pPr>
        <w:numPr>
          <w:ilvl w:val="0"/>
          <w:numId w:val="2"/>
        </w:numPr>
        <w:spacing w:line="276" w:lineRule="auto"/>
        <w:ind w:left="993" w:hanging="426"/>
        <w:jc w:val="both"/>
        <w:rPr>
          <w:sz w:val="24"/>
          <w:szCs w:val="24"/>
        </w:rPr>
      </w:pPr>
      <w:r w:rsidDel="00000000" w:rsidR="00000000" w:rsidRPr="00000000">
        <w:rPr>
          <w:sz w:val="24"/>
          <w:szCs w:val="24"/>
          <w:rtl w:val="0"/>
        </w:rPr>
        <w:t xml:space="preserve">The customary land of the clan is owned by all members of the clan who are led by a head of the clan and is cultivated land whose control is according to “ </w:t>
      </w:r>
      <w:r w:rsidDel="00000000" w:rsidR="00000000" w:rsidRPr="00000000">
        <w:rPr>
          <w:i w:val="1"/>
          <w:sz w:val="24"/>
          <w:szCs w:val="24"/>
          <w:rtl w:val="0"/>
        </w:rPr>
        <w:t xml:space="preserve">ganggam bauntuak pagang bamasiang </w:t>
      </w:r>
      <w:r w:rsidDel="00000000" w:rsidR="00000000" w:rsidRPr="00000000">
        <w:rPr>
          <w:sz w:val="24"/>
          <w:szCs w:val="24"/>
          <w:rtl w:val="0"/>
        </w:rPr>
        <w:t xml:space="preserve">“ for clan members.</w:t>
      </w:r>
    </w:p>
    <w:p w:rsidR="00000000" w:rsidDel="00000000" w:rsidP="00000000" w:rsidRDefault="00000000" w:rsidRPr="00000000" w14:paraId="00000043">
      <w:pPr>
        <w:spacing w:line="276" w:lineRule="auto"/>
        <w:ind w:left="142" w:firstLine="0"/>
        <w:jc w:val="both"/>
        <w:rPr>
          <w:sz w:val="24"/>
          <w:szCs w:val="24"/>
        </w:rPr>
      </w:pPr>
      <w:r w:rsidDel="00000000" w:rsidR="00000000" w:rsidRPr="00000000">
        <w:rPr>
          <w:sz w:val="24"/>
          <w:szCs w:val="24"/>
          <w:rtl w:val="0"/>
        </w:rPr>
        <w:t xml:space="preserve">These three levels have distinct social, economic, and cultural functions, yet they are integrated within a single communal ownership system. Therefore, it can be argued that the mechanism for ownership and control of customary land is practically regulated through the concept of “ </w:t>
      </w:r>
      <w:r w:rsidDel="00000000" w:rsidR="00000000" w:rsidRPr="00000000">
        <w:rPr>
          <w:i w:val="1"/>
          <w:sz w:val="24"/>
          <w:szCs w:val="24"/>
          <w:rtl w:val="0"/>
        </w:rPr>
        <w:t xml:space="preserve">ganggam bauntuak, </w:t>
      </w:r>
      <w:r w:rsidDel="00000000" w:rsidR="00000000" w:rsidRPr="00000000">
        <w:rPr>
          <w:sz w:val="24"/>
          <w:szCs w:val="24"/>
          <w:rtl w:val="0"/>
        </w:rPr>
        <w:t xml:space="preserve">“ reflecting the complexity of the relationship between rights and ownership in Minangkabau custom.</w:t>
      </w:r>
    </w:p>
    <w:p w:rsidR="00000000" w:rsidDel="00000000" w:rsidP="00000000" w:rsidRDefault="00000000" w:rsidRPr="00000000" w14:paraId="00000044">
      <w:pPr>
        <w:spacing w:line="276" w:lineRule="auto"/>
        <w:ind w:left="142" w:firstLine="567"/>
        <w:jc w:val="both"/>
        <w:rPr>
          <w:sz w:val="24"/>
          <w:szCs w:val="24"/>
        </w:rPr>
      </w:pPr>
      <w:r w:rsidDel="00000000" w:rsidR="00000000" w:rsidRPr="00000000">
        <w:rPr>
          <w:sz w:val="24"/>
          <w:szCs w:val="24"/>
          <w:rtl w:val="0"/>
        </w:rPr>
        <w:t xml:space="preserve">The relationship between pusako in terms of the rights and legitimacy of individual members of the clan to use and utilize heirloom property can be detailed through two aspects, namely the mamak has the right to control and the kamanakan bamiliek or kamanakan holds ownership. The Minangkabau proverb “ </w:t>
      </w:r>
      <w:r w:rsidDel="00000000" w:rsidR="00000000" w:rsidRPr="00000000">
        <w:rPr>
          <w:i w:val="1"/>
          <w:sz w:val="24"/>
          <w:szCs w:val="24"/>
          <w:rtl w:val="0"/>
        </w:rPr>
        <w:t xml:space="preserve">hak bamiliek harato bapunyo, hak nan banampu harapo nan bamiliek </w:t>
      </w:r>
      <w:r w:rsidDel="00000000" w:rsidR="00000000" w:rsidRPr="00000000">
        <w:rPr>
          <w:sz w:val="24"/>
          <w:szCs w:val="24"/>
          <w:rtl w:val="0"/>
        </w:rPr>
        <w:t xml:space="preserve">“ illustrates that the relationship between pusako has an aspect of socio-political control in the form of abstract hanging rights belonging to the entire group but held by the mamak. Another aspect is material ownership that is owned and shared between nephews individually. The concept of rights and ownership in Minangkabau custom cannot be combined in one person or group, so the concept of ownership in the sense of </w:t>
      </w:r>
      <w:r w:rsidDel="00000000" w:rsidR="00000000" w:rsidRPr="00000000">
        <w:rPr>
          <w:i w:val="1"/>
          <w:sz w:val="24"/>
          <w:szCs w:val="24"/>
          <w:rtl w:val="0"/>
        </w:rPr>
        <w:t xml:space="preserve">eigendom </w:t>
      </w:r>
      <w:r w:rsidDel="00000000" w:rsidR="00000000" w:rsidRPr="00000000">
        <w:rPr>
          <w:sz w:val="24"/>
          <w:szCs w:val="24"/>
          <w:rtl w:val="0"/>
        </w:rPr>
        <w:t xml:space="preserve">is not known in Minangkabau custom.</w:t>
      </w:r>
    </w:p>
    <w:p w:rsidR="00000000" w:rsidDel="00000000" w:rsidP="00000000" w:rsidRDefault="00000000" w:rsidRPr="00000000" w14:paraId="00000045">
      <w:pPr>
        <w:spacing w:line="276" w:lineRule="auto"/>
        <w:ind w:left="142" w:firstLine="567"/>
        <w:jc w:val="both"/>
        <w:rPr>
          <w:sz w:val="24"/>
          <w:szCs w:val="24"/>
        </w:rPr>
      </w:pPr>
      <w:r w:rsidDel="00000000" w:rsidR="00000000" w:rsidRPr="00000000">
        <w:rPr>
          <w:sz w:val="24"/>
          <w:szCs w:val="24"/>
          <w:rtl w:val="0"/>
        </w:rPr>
        <w:t xml:space="preserve">The separation between rights and ownership in the Minangkabau customary system creates a complexity that cannot be reconciled with the national legal paradigm that adheres to the principle of the state's right to control. The concept of “ </w:t>
      </w:r>
      <w:r w:rsidDel="00000000" w:rsidR="00000000" w:rsidRPr="00000000">
        <w:rPr>
          <w:i w:val="1"/>
          <w:sz w:val="24"/>
          <w:szCs w:val="24"/>
          <w:rtl w:val="0"/>
        </w:rPr>
        <w:t xml:space="preserve">eigendom </w:t>
      </w:r>
      <w:r w:rsidDel="00000000" w:rsidR="00000000" w:rsidRPr="00000000">
        <w:rPr>
          <w:sz w:val="24"/>
          <w:szCs w:val="24"/>
          <w:rtl w:val="0"/>
        </w:rPr>
        <w:t xml:space="preserve">“ which is the philosophical basis of land ownership in Indonesian positive law requires the unification of rights and ownership in one legal subject, while the Minangkabau pusako system fundamentally separates the two aspects through the division of roles between the mamak as the holder of control rights and the nephew as the material owner. The national legal model that places the state as the holder of the highest right to control land based on Article 33 paragraph (3) of the 1945 Constitution of the Republic of Indonesia does not recognize a mechanism of ownership that is separate from control, so that the pusako system which has a duality of rights and ownership cannot be accommodated within the monistic national agrarian legal framework.</w:t>
      </w:r>
    </w:p>
    <w:p w:rsidR="00000000" w:rsidDel="00000000" w:rsidP="00000000" w:rsidRDefault="00000000" w:rsidRPr="00000000" w14:paraId="00000046">
      <w:pPr>
        <w:spacing w:line="276" w:lineRule="auto"/>
        <w:ind w:left="142" w:firstLine="567"/>
        <w:jc w:val="both"/>
        <w:rPr>
          <w:sz w:val="24"/>
          <w:szCs w:val="24"/>
        </w:rPr>
      </w:pPr>
      <w:r w:rsidDel="00000000" w:rsidR="00000000" w:rsidRPr="00000000">
        <w:rPr>
          <w:sz w:val="24"/>
          <w:szCs w:val="24"/>
          <w:rtl w:val="0"/>
        </w:rPr>
        <w:t xml:space="preserve">As defined by the right to control, the state places land as one of the objects of ownership, both by individuals and communities. The state is defined as not being the (private) owner of the land because the owner of the land is a natural human being. Meanwhile, unclaimed land or legal community land occupied by community members is part of the regular nature of individual land ownership patterns. In the application of this right, which is implemented in Article 33 paragraph (3) of the 1945 Constitution of the Republic of Indonesia, it states that the earth and water, and the natural resources contained therein are controlled by the state and used for the greatest prosperity of the people. Based on this article, it can be concluded that all of the earth, water and space belong to the Indonesian nation, the use and utilization of which is controlled by the state. However, not all components can be managed by the nation itself, so they are delegated to the state as the authority of the state's right to control.</w:t>
      </w:r>
    </w:p>
    <w:p w:rsidR="00000000" w:rsidDel="00000000" w:rsidP="00000000" w:rsidRDefault="00000000" w:rsidRPr="00000000" w14:paraId="00000047">
      <w:pPr>
        <w:spacing w:line="276" w:lineRule="auto"/>
        <w:ind w:left="142" w:firstLine="567"/>
        <w:jc w:val="both"/>
        <w:rPr>
          <w:sz w:val="24"/>
          <w:szCs w:val="24"/>
        </w:rPr>
      </w:pPr>
      <w:r w:rsidDel="00000000" w:rsidR="00000000" w:rsidRPr="00000000">
        <w:rPr>
          <w:sz w:val="24"/>
          <w:szCs w:val="24"/>
          <w:rtl w:val="0"/>
        </w:rPr>
        <w:t xml:space="preserve">Indonesia's national land law system also recognizes various types of land rights regulated in the UUPA, including ownership rights, land use rights, building use rights, use rights, lease rights, land clearing rights, forest harvesting rights, and other rights to be stipulated by law. Ownership rights, as hereditary, strongest, and most complete rights that can be held by individuals over land, constitute the most perfect form of land rights in the national legal system. Characteristics of ownership rights include being inheritable, transferable, and being able to be used as collateral for debt with a mortgage. Other land rights have a limited duration and certain conditions according to their respective functions and uses. The principle of land registration is the main instrument in providing legal certainty and legal protection for land rights holders through the issuance of certificates as strong proof of rights.</w:t>
      </w:r>
    </w:p>
    <w:p w:rsidR="00000000" w:rsidDel="00000000" w:rsidP="00000000" w:rsidRDefault="00000000" w:rsidRPr="00000000" w14:paraId="00000048">
      <w:pPr>
        <w:spacing w:line="276" w:lineRule="auto"/>
        <w:ind w:left="142" w:firstLine="567"/>
        <w:jc w:val="both"/>
        <w:rPr>
          <w:sz w:val="24"/>
          <w:szCs w:val="24"/>
        </w:rPr>
      </w:pPr>
      <w:r w:rsidDel="00000000" w:rsidR="00000000" w:rsidRPr="00000000">
        <w:rPr>
          <w:sz w:val="24"/>
          <w:szCs w:val="24"/>
          <w:rtl w:val="0"/>
        </w:rPr>
        <w:t xml:space="preserve">Based on the individual nature of land rights in the UUPA and the publicity-based land registration system, the transformation of customary land through the HPL mechanism creates complex structural problems. Government Regulation Number 18 of 2021 concerning Management Rights, Land Rights, Apartment Units, and Land Registration also introduces a new paradigm in the regulation of customary land through the Management Rights (HPL) mechanism. PP 18/2021 defines customary land as land located within the control of customary law communities that, in reality, still exists and is not attached to any Land Rights. This regulation allows for the granting of HPL for customary land after a determination and registration process involving customary law communities as HPL holders. This mechanism aims to provide legal certainty for customary land while still recognizing the existence and traditional rights of customary law communities. The implementation of HPL for customary land must take into account the communal characteristics and customary provisions applicable within the customary law community to prevent conflict and ensure the sustainability of the customary system.</w:t>
      </w:r>
    </w:p>
    <w:p w:rsidR="00000000" w:rsidDel="00000000" w:rsidP="00000000" w:rsidRDefault="00000000" w:rsidRPr="00000000" w14:paraId="00000049">
      <w:pPr>
        <w:spacing w:line="276" w:lineRule="auto"/>
        <w:ind w:left="142" w:firstLine="567"/>
        <w:jc w:val="both"/>
        <w:rPr>
          <w:sz w:val="24"/>
          <w:szCs w:val="24"/>
        </w:rPr>
      </w:pPr>
      <w:r w:rsidDel="00000000" w:rsidR="00000000" w:rsidRPr="00000000">
        <w:rPr>
          <w:sz w:val="24"/>
          <w:szCs w:val="24"/>
          <w:rtl w:val="0"/>
        </w:rPr>
        <w:t xml:space="preserve">As for customary law communities in the Regulation of the Minister of Agrarian Affairs and Spatial Planning/Head of the National Land Agency of the Republic of Indonesia Number 14 of 2024 Concerning the Implementation of Land Administration and Registration of Customary Land Rights of Customary Law Communities, Article 1 Number (3) states that customary law communities are “a group of people who are bound by their customary law system as citizens together with a legal association because of the same place of residence or on the basis of descent who have customary institutions, have assets from or customary objects that are jointly owned, as well as a value system that determines customary institutions and customary legal norms.” The existence of law on the rights of customary communities in Indonesia has been recognized and respected as stated in the Indonesian constitution, namely in Article 18B paragraph (2) of the 1945 Constitution of the Republic of Indonesia, however, no special law has been formed regarding the protection and recognition of the rights held by customary law communities. </w:t>
      </w:r>
    </w:p>
    <w:p w:rsidR="00000000" w:rsidDel="00000000" w:rsidP="00000000" w:rsidRDefault="00000000" w:rsidRPr="00000000" w14:paraId="0000004A">
      <w:pPr>
        <w:spacing w:line="276" w:lineRule="auto"/>
        <w:ind w:left="142" w:firstLine="567"/>
        <w:jc w:val="both"/>
        <w:rPr>
          <w:sz w:val="24"/>
          <w:szCs w:val="24"/>
        </w:rPr>
      </w:pPr>
      <w:r w:rsidDel="00000000" w:rsidR="00000000" w:rsidRPr="00000000">
        <w:rPr>
          <w:sz w:val="24"/>
          <w:szCs w:val="24"/>
          <w:rtl w:val="0"/>
        </w:rPr>
        <w:t xml:space="preserve">Based on the contents of the provisions of the article above, it states that the state recognizes and respects the existence of customary law communities along with their traditional rights, where this existence contains several conditions, namely as long as local customary law is still alive, the existence of local customary law is in line with the development of society, there are traditional customs that have been passed down from generation to generation, and are contained in statutory regulations. The rights of customary law communities including their traditional culture have been respected as regulated in Article 28I paragraph (3) of the 1945 Constitution of the Republic of Indonesia. With the recognition of the rights of customary law communities regulated in the 1945 Constitution of the Republic of Indonesia, the state bears the responsibility and obligation to provide protection, fulfillment, and respect for the rights of customary law communities in Indonesia.</w:t>
      </w:r>
    </w:p>
    <w:p w:rsidR="00000000" w:rsidDel="00000000" w:rsidP="00000000" w:rsidRDefault="00000000" w:rsidRPr="00000000" w14:paraId="0000004B">
      <w:pPr>
        <w:spacing w:line="276" w:lineRule="auto"/>
        <w:ind w:left="142" w:firstLine="567"/>
        <w:jc w:val="both"/>
        <w:rPr>
          <w:sz w:val="24"/>
          <w:szCs w:val="24"/>
        </w:rPr>
      </w:pPr>
      <w:r w:rsidDel="00000000" w:rsidR="00000000" w:rsidRPr="00000000">
        <w:rPr>
          <w:sz w:val="24"/>
          <w:szCs w:val="24"/>
          <w:rtl w:val="0"/>
        </w:rPr>
        <w:t xml:space="preserve">The relationship between state rights and indigenous peoples' rights in the context of land ownership reflects a complexity that requires a balanced and equitable approach. This balance must take into account the unique social, political, and cultural conditions of each region, so that implemented solutions can accommodate the interests of all parties. Ongoing and inclusive dialogue between the government, indigenous peoples, and other stakeholders is key to finding mutually acceptable solutions. Traditional practices and local knowledge of indigenous peoples are crucial for environmental conservation and sustainable natural resource management. Integrating indigenous peoples' perspectives into national policies can create more inclusive and sustainable development.</w:t>
      </w:r>
    </w:p>
    <w:p w:rsidR="00000000" w:rsidDel="00000000" w:rsidP="00000000" w:rsidRDefault="00000000" w:rsidRPr="00000000" w14:paraId="0000004C">
      <w:pPr>
        <w:spacing w:line="276" w:lineRule="auto"/>
        <w:ind w:left="142" w:firstLine="567"/>
        <w:jc w:val="both"/>
        <w:rPr>
          <w:sz w:val="24"/>
          <w:szCs w:val="24"/>
        </w:rPr>
      </w:pPr>
      <w:r w:rsidDel="00000000" w:rsidR="00000000" w:rsidRPr="00000000">
        <w:rPr>
          <w:sz w:val="24"/>
          <w:szCs w:val="24"/>
          <w:rtl w:val="0"/>
        </w:rPr>
        <w:t xml:space="preserve">Communal rights in indigenous systems emphasize the importance of collective identity and shared well-being, which differs fundamentally from the concept of individual ownership. Communal rights encompass the rights of ethnic groups, indigenous peoples, or religious communities to preserve their culture, language, and traditional practices. Management of shared resources and collective decision-making are key characteristics in matters affecting the community as a whole. Recognition of communal rights plays a vital role in protecting minority groups and maintaining cultural diversity. The principle of state interests related to collective goals such as national security, economic stability, and the general welfare can sometimes conflict with the communal rights system of indigenous communities.</w:t>
      </w:r>
    </w:p>
    <w:p w:rsidR="00000000" w:rsidDel="00000000" w:rsidP="00000000" w:rsidRDefault="00000000" w:rsidRPr="00000000" w14:paraId="0000004D">
      <w:pPr>
        <w:spacing w:line="276" w:lineRule="auto"/>
        <w:ind w:left="142" w:firstLine="567"/>
        <w:jc w:val="both"/>
        <w:rPr>
          <w:sz w:val="24"/>
          <w:szCs w:val="24"/>
        </w:rPr>
      </w:pPr>
      <w:r w:rsidDel="00000000" w:rsidR="00000000" w:rsidRPr="00000000">
        <w:rPr>
          <w:sz w:val="24"/>
          <w:szCs w:val="24"/>
          <w:rtl w:val="0"/>
        </w:rPr>
        <w:t xml:space="preserve">Thus, the customary land ownership system based on Minangkabau customary law exhibits a complexity that differs markedly from the individual ownership paradigm in national law. From the perspective of the rule of law theory, the characteristics of Minangkabau customary land ownership face structural challenges when confronted with the national legal system, which adheres to the principle of state control. The characteristics of Minangkabau customary land ownership are essentially manifestations of a living and evolving customary legal system based on the needs and values of the local community. This system has proven capable of maintaining social cohesion, environmental sustainability, and distributive justice within the community for centuries through democratic and participatory management mechanisms. The principle of communal ownership, which does not recognize the concept of buying and selling customary land, reflects ancestral wisdom in maintaining the sustainability of resources for future generations. Efforts to integrate the customary land ownership system into the national legal framework must take these unique characteristics into account to prevent the erosion of cultural values and the destabilization of the established social system in Minangkabau society.</w:t>
      </w:r>
    </w:p>
    <w:p w:rsidR="00000000" w:rsidDel="00000000" w:rsidP="00000000" w:rsidRDefault="00000000" w:rsidRPr="00000000" w14:paraId="0000004E">
      <w:pPr>
        <w:spacing w:line="276" w:lineRule="auto"/>
        <w:ind w:left="142" w:firstLine="567"/>
        <w:jc w:val="both"/>
        <w:rPr>
          <w:sz w:val="24"/>
          <w:szCs w:val="24"/>
        </w:rPr>
      </w:pPr>
      <w:r w:rsidDel="00000000" w:rsidR="00000000" w:rsidRPr="00000000">
        <w:rPr>
          <w:rtl w:val="0"/>
        </w:rPr>
      </w:r>
    </w:p>
    <w:p w:rsidR="00000000" w:rsidDel="00000000" w:rsidP="00000000" w:rsidRDefault="00000000" w:rsidRPr="00000000" w14:paraId="0000004F">
      <w:pPr>
        <w:numPr>
          <w:ilvl w:val="0"/>
          <w:numId w:val="1"/>
        </w:numPr>
        <w:spacing w:line="276" w:lineRule="auto"/>
        <w:ind w:left="567" w:hanging="567"/>
        <w:jc w:val="both"/>
        <w:rPr>
          <w:b w:val="1"/>
          <w:sz w:val="24"/>
          <w:szCs w:val="24"/>
        </w:rPr>
      </w:pPr>
      <w:r w:rsidDel="00000000" w:rsidR="00000000" w:rsidRPr="00000000">
        <w:rPr>
          <w:b w:val="1"/>
          <w:sz w:val="24"/>
          <w:szCs w:val="24"/>
          <w:rtl w:val="0"/>
        </w:rPr>
        <w:t xml:space="preserve">The Inconsistency of Customary Land Regulations between UUPA and Minangkabau Customary Law</w:t>
      </w:r>
    </w:p>
    <w:p w:rsidR="00000000" w:rsidDel="00000000" w:rsidP="00000000" w:rsidRDefault="00000000" w:rsidRPr="00000000" w14:paraId="00000050">
      <w:pPr>
        <w:spacing w:line="276" w:lineRule="auto"/>
        <w:jc w:val="both"/>
        <w:rPr>
          <w:sz w:val="24"/>
          <w:szCs w:val="24"/>
        </w:rPr>
      </w:pPr>
      <w:r w:rsidDel="00000000" w:rsidR="00000000" w:rsidRPr="00000000">
        <w:rPr>
          <w:sz w:val="24"/>
          <w:szCs w:val="24"/>
          <w:rtl w:val="0"/>
        </w:rPr>
        <w:t xml:space="preserve">Law Number 5 of 1960 concerning Basic Agrarian Regulations (UUPA) fundamentally adheres to the paradigm of individual ownership rooted in Western legal concepts. Article 20 of the UUPA states:</w:t>
      </w:r>
    </w:p>
    <w:p w:rsidR="00000000" w:rsidDel="00000000" w:rsidP="00000000" w:rsidRDefault="00000000" w:rsidRPr="00000000" w14:paraId="00000051">
      <w:pPr>
        <w:spacing w:line="276" w:lineRule="auto"/>
        <w:ind w:left="567"/>
        <w:jc w:val="both"/>
        <w:rPr>
          <w:sz w:val="24"/>
          <w:szCs w:val="24"/>
        </w:rPr>
      </w:pPr>
      <w:r w:rsidDel="00000000" w:rsidR="00000000" w:rsidRPr="00000000">
        <w:rPr>
          <w:sz w:val="24"/>
          <w:szCs w:val="24"/>
          <w:rtl w:val="0"/>
        </w:rPr>
        <w:t xml:space="preserve">“ </w:t>
      </w:r>
      <w:r w:rsidDel="00000000" w:rsidR="00000000" w:rsidRPr="00000000">
        <w:rPr>
          <w:i w:val="1"/>
          <w:sz w:val="24"/>
          <w:szCs w:val="24"/>
          <w:rtl w:val="0"/>
        </w:rPr>
        <w:t xml:space="preserve">Ownership rights are hereditary, strongest and most complete rights that a person can have over land, with the characteristics that they can be inherited, transferred and used as collateral for debt through mortgage rights </w:t>
      </w:r>
      <w:r w:rsidDel="00000000" w:rsidR="00000000" w:rsidRPr="00000000">
        <w:rPr>
          <w:sz w:val="24"/>
          <w:szCs w:val="24"/>
          <w:rtl w:val="0"/>
        </w:rPr>
        <w:t xml:space="preserve">.”</w:t>
      </w:r>
    </w:p>
    <w:p w:rsidR="00000000" w:rsidDel="00000000" w:rsidP="00000000" w:rsidRDefault="00000000" w:rsidRPr="00000000" w14:paraId="00000052">
      <w:pPr>
        <w:spacing w:line="276" w:lineRule="auto"/>
        <w:jc w:val="both"/>
        <w:rPr>
          <w:sz w:val="24"/>
          <w:szCs w:val="24"/>
        </w:rPr>
      </w:pPr>
      <w:r w:rsidDel="00000000" w:rsidR="00000000" w:rsidRPr="00000000">
        <w:rPr>
          <w:sz w:val="24"/>
          <w:szCs w:val="24"/>
          <w:rtl w:val="0"/>
        </w:rPr>
        <w:t xml:space="preserve">The land registration system under the UUPA applies the principle of publicity, requiring formal documentation and individual certification as proof of legal ownership. This paradigm creates a legal structure that positions land as an economic commodity that can be freely traded within market mechanisms. The UUPA's individualistic orientation is reflected in all aspects of land rights regulations, which recognize legal subjects as sole owners with full authority over the land. The inconsistency in the regulation of customary land between the UUPA and Minangkabau customary law stems from fundamental differences in the paradigm of land ownership in the two legal systems. The UUPA adheres to an individual ownership system rooted in the philosophy of Western liberalism, with the concept of </w:t>
      </w:r>
      <w:r w:rsidDel="00000000" w:rsidR="00000000" w:rsidRPr="00000000">
        <w:rPr>
          <w:i w:val="1"/>
          <w:sz w:val="24"/>
          <w:szCs w:val="24"/>
          <w:rtl w:val="0"/>
        </w:rPr>
        <w:t xml:space="preserve">eigendom </w:t>
      </w:r>
      <w:r w:rsidDel="00000000" w:rsidR="00000000" w:rsidRPr="00000000">
        <w:rPr>
          <w:sz w:val="24"/>
          <w:szCs w:val="24"/>
          <w:rtl w:val="0"/>
        </w:rPr>
        <w:t xml:space="preserve">as its primary foundation.</w:t>
      </w:r>
    </w:p>
    <w:p w:rsidR="00000000" w:rsidDel="00000000" w:rsidP="00000000" w:rsidRDefault="00000000" w:rsidRPr="00000000" w14:paraId="00000053">
      <w:pPr>
        <w:spacing w:line="276" w:lineRule="auto"/>
        <w:jc w:val="both"/>
        <w:rPr>
          <w:sz w:val="24"/>
          <w:szCs w:val="24"/>
        </w:rPr>
      </w:pPr>
      <w:r w:rsidDel="00000000" w:rsidR="00000000" w:rsidRPr="00000000">
        <w:rPr>
          <w:sz w:val="24"/>
          <w:szCs w:val="24"/>
          <w:rtl w:val="0"/>
        </w:rPr>
        <w:t xml:space="preserve">This individual ownership is diametrically opposed to the Minangkabau customary land ownership system, which is communal and does not recognize the concept of buying and selling. Article 3 of the UUPA provides limited recognition of customary rights, with strict and problematic implementation conditions, including:</w:t>
      </w:r>
    </w:p>
    <w:p w:rsidR="00000000" w:rsidDel="00000000" w:rsidP="00000000" w:rsidRDefault="00000000" w:rsidRPr="00000000" w14:paraId="00000054">
      <w:pPr>
        <w:numPr>
          <w:ilvl w:val="0"/>
          <w:numId w:val="5"/>
        </w:numPr>
        <w:spacing w:line="276" w:lineRule="auto"/>
        <w:ind w:left="720" w:hanging="360"/>
        <w:jc w:val="both"/>
        <w:rPr>
          <w:sz w:val="24"/>
          <w:szCs w:val="24"/>
        </w:rPr>
      </w:pPr>
      <w:r w:rsidDel="00000000" w:rsidR="00000000" w:rsidRPr="00000000">
        <w:rPr>
          <w:sz w:val="24"/>
          <w:szCs w:val="24"/>
          <w:rtl w:val="0"/>
        </w:rPr>
        <w:t xml:space="preserve">The phrase “as long as in reality it still exists” creates legal uncertainty because there are no objective criteria to determine the existence of customary rights.</w:t>
      </w:r>
    </w:p>
    <w:p w:rsidR="00000000" w:rsidDel="00000000" w:rsidP="00000000" w:rsidRDefault="00000000" w:rsidRPr="00000000" w14:paraId="00000055">
      <w:pPr>
        <w:numPr>
          <w:ilvl w:val="0"/>
          <w:numId w:val="5"/>
        </w:numPr>
        <w:spacing w:line="276" w:lineRule="auto"/>
        <w:ind w:left="720" w:hanging="360"/>
        <w:jc w:val="both"/>
        <w:rPr>
          <w:sz w:val="24"/>
          <w:szCs w:val="24"/>
        </w:rPr>
      </w:pPr>
      <w:r w:rsidDel="00000000" w:rsidR="00000000" w:rsidRPr="00000000">
        <w:rPr>
          <w:sz w:val="24"/>
          <w:szCs w:val="24"/>
          <w:rtl w:val="0"/>
        </w:rPr>
        <w:t xml:space="preserve">The requirement of “in accordance with national and state interests” has the potential to be used as an instrument to deny customary rights in the name of development or investment.</w:t>
      </w:r>
    </w:p>
    <w:p w:rsidR="00000000" w:rsidDel="00000000" w:rsidP="00000000" w:rsidRDefault="00000000" w:rsidRPr="00000000" w14:paraId="00000056">
      <w:pPr>
        <w:numPr>
          <w:ilvl w:val="0"/>
          <w:numId w:val="5"/>
        </w:numPr>
        <w:spacing w:line="276" w:lineRule="auto"/>
        <w:ind w:left="720" w:hanging="360"/>
        <w:jc w:val="both"/>
        <w:rPr>
          <w:sz w:val="24"/>
          <w:szCs w:val="24"/>
        </w:rPr>
      </w:pPr>
      <w:r w:rsidDel="00000000" w:rsidR="00000000" w:rsidRPr="00000000">
        <w:rPr>
          <w:sz w:val="24"/>
          <w:szCs w:val="24"/>
          <w:rtl w:val="0"/>
        </w:rPr>
        <w:t xml:space="preserve">The provision “must not conflict with higher laws and regulations” implicitly places customary rights in a subordinate position to positive law.</w:t>
      </w:r>
    </w:p>
    <w:p w:rsidR="00000000" w:rsidDel="00000000" w:rsidP="00000000" w:rsidRDefault="00000000" w:rsidRPr="00000000" w14:paraId="00000057">
      <w:pPr>
        <w:spacing w:line="276" w:lineRule="auto"/>
        <w:ind w:firstLine="720"/>
        <w:jc w:val="both"/>
        <w:rPr>
          <w:sz w:val="24"/>
          <w:szCs w:val="24"/>
        </w:rPr>
      </w:pPr>
      <w:r w:rsidDel="00000000" w:rsidR="00000000" w:rsidRPr="00000000">
        <w:rPr>
          <w:sz w:val="24"/>
          <w:szCs w:val="24"/>
          <w:rtl w:val="0"/>
        </w:rPr>
        <w:t xml:space="preserve">This conditional recognition differs fundamentally from the Minangkabau customary land ownership system, which is absolute and inviolable. The enactment of the Basic Agrarian Law (UUPA) has changed the status of customary land rights to HGU (Cultural Rights), HGB (Cultural Rights), and other forms of rights not recognized in Minangkabau customary terminology. After the validity period of these rights expires, the land status does not revert to customary land but is instead transferred to state land, which contradicts the principle of continuity of ownership in customary law. This inconsistency in regulations demonstrates the unpreparedness of the national legal system to accommodate the characteristics of communal ownership that differ from the Western concept of individual ownership.</w:t>
      </w:r>
    </w:p>
    <w:p w:rsidR="00000000" w:rsidDel="00000000" w:rsidP="00000000" w:rsidRDefault="00000000" w:rsidRPr="00000000" w14:paraId="00000058">
      <w:pPr>
        <w:spacing w:line="276" w:lineRule="auto"/>
        <w:jc w:val="both"/>
        <w:rPr>
          <w:sz w:val="24"/>
          <w:szCs w:val="24"/>
        </w:rPr>
      </w:pPr>
      <w:r w:rsidDel="00000000" w:rsidR="00000000" w:rsidRPr="00000000">
        <w:rPr>
          <w:sz w:val="24"/>
          <w:szCs w:val="24"/>
          <w:rtl w:val="0"/>
        </w:rPr>
        <w:t xml:space="preserve">The limited recognition in the UUPA is exacerbated by inconsistencies in its implementing regulations. The regulation of customary land within the national legal framework has undergone a transformation through Government Regulation Number 18 of 2021, which allows for the granting of Management Rights (HPL) over customary land to customary law communities. HPL over customary land must be registered with the Land Office but is non-transferable and can only be released under certain conditions, such as for public interest or by granting ownership rights. The transfer or assignment of customary land, which is considered high inheritance property, is only possible in extremely urgent circumstances with strict conditions, namely the agreement of all clan members, with the knowledge and permission of adult clan members, and with the knowledge and permission of clan members residing abroad. The authority to assign and utilize customary land varies depending on the type, where in the case of customary land, the control and utilization of customary land is regulated by the head of the heirs as the oldest male in the clan, according to the Jurisprudence of the Supreme Court of the Republic of Indonesia Number 1598 K/Sip/1975.</w:t>
      </w:r>
    </w:p>
    <w:p w:rsidR="00000000" w:rsidDel="00000000" w:rsidP="00000000" w:rsidRDefault="00000000" w:rsidRPr="00000000" w14:paraId="00000059">
      <w:pPr>
        <w:spacing w:line="276" w:lineRule="auto"/>
        <w:jc w:val="both"/>
        <w:rPr>
          <w:sz w:val="24"/>
          <w:szCs w:val="24"/>
        </w:rPr>
      </w:pPr>
      <w:r w:rsidDel="00000000" w:rsidR="00000000" w:rsidRPr="00000000">
        <w:rPr>
          <w:sz w:val="24"/>
          <w:szCs w:val="24"/>
          <w:rtl w:val="0"/>
        </w:rPr>
        <w:t xml:space="preserve">The management rights provisions in Government Regulation No. 18 of 2021 are also intended to emphasize facilitating investor investment by providing land to meet investment needs. Investors are guaranteed land rights necessary for their business operations. Management Rights (HPL) in collaboration with investors can be granted land rights in the form of Cultivation Rights (HGU), Building Rights (HGB), and/or Usage Rights (Hak Pakai) (HP). Furthermore, these land rights can be encumbered with mortgages, transferred, or relinquished. Thus, these provisions are quite beneficial for investors, especially since investors can pledge their land rights to obtain loans needed for business capital/banking, even though the consent of the customary land rights holder is still required. The government argues that the granting of HPL certificates for customary land aims to guarantee legal certainty and provide economic benefits to the community, even though at any time it will become a new problem / time bomb for horizontal conflict for customary land in the future, conflicts can also be triggered by unfair profit sharing among fellow indigenous people, or there is collusion between certain customary leaders and investors. The struggle of indigenous peoples so far has not been to obtain HPL Certificates, but rather State recognition of customary land.</w:t>
      </w:r>
    </w:p>
    <w:p w:rsidR="00000000" w:rsidDel="00000000" w:rsidP="00000000" w:rsidRDefault="00000000" w:rsidRPr="00000000" w14:paraId="0000005A">
      <w:pPr>
        <w:spacing w:line="276" w:lineRule="auto"/>
        <w:jc w:val="both"/>
        <w:rPr>
          <w:sz w:val="24"/>
          <w:szCs w:val="24"/>
        </w:rPr>
      </w:pPr>
      <w:r w:rsidDel="00000000" w:rsidR="00000000" w:rsidRPr="00000000">
        <w:rPr>
          <w:sz w:val="24"/>
          <w:szCs w:val="24"/>
          <w:rtl w:val="0"/>
        </w:rPr>
        <w:t xml:space="preserve">The government's pretext that granting HPL certificates aims to guarantee legal certainty and provide economic benefits actually has the potential to create new problems for the Minangkabau indigenous people. Hans Kelsen's theory of legal certainty requires seven criteria for legal validity, including that legal rules must be acceptable and adhered to by the community and in accordance with the spirit of the nation concerned. HPL certification for customary land contradicts the principle of “ </w:t>
      </w:r>
      <w:r w:rsidDel="00000000" w:rsidR="00000000" w:rsidRPr="00000000">
        <w:rPr>
          <w:i w:val="1"/>
          <w:sz w:val="24"/>
          <w:szCs w:val="24"/>
          <w:rtl w:val="0"/>
        </w:rPr>
        <w:t xml:space="preserve">jua ndak makan bali, gadai ndak makan sando </w:t>
      </w:r>
      <w:r w:rsidDel="00000000" w:rsidR="00000000" w:rsidRPr="00000000">
        <w:rPr>
          <w:sz w:val="24"/>
          <w:szCs w:val="24"/>
          <w:rtl w:val="0"/>
        </w:rPr>
        <w:t xml:space="preserve">“ in Minangkabau customary law, which prohibits the sale and purchase and mortgage of customary land except in urgent circumstances. The legal certainty offered through HPL actually creates uncertainty for indigenous peoples by opening up opportunities for the conversion and commercialization of high-priced ancestral land. The indigenous people's struggle so far has not been to obtain HPL certificates but rather state recognition of customary land as a stand-alone legal entity that does not need to be integrated into the positive legal system. </w:t>
      </w:r>
    </w:p>
    <w:p w:rsidR="00000000" w:rsidDel="00000000" w:rsidP="00000000" w:rsidRDefault="00000000" w:rsidRPr="00000000" w14:paraId="0000005B">
      <w:pPr>
        <w:spacing w:line="276" w:lineRule="auto"/>
        <w:jc w:val="both"/>
        <w:rPr>
          <w:sz w:val="24"/>
          <w:szCs w:val="24"/>
        </w:rPr>
      </w:pPr>
      <w:r w:rsidDel="00000000" w:rsidR="00000000" w:rsidRPr="00000000">
        <w:rPr>
          <w:sz w:val="24"/>
          <w:szCs w:val="24"/>
          <w:rtl w:val="0"/>
        </w:rPr>
        <w:t xml:space="preserve">HPL certification, which allows for the imposition of mortgage rights, has the potential to become an instrument for transferring customary land to third parties through capital market and banking mechanisms. Horizontal conflict can be triggered by unfair profit sharing among indigenous communities or collusion between certain customary leaders and investors who exploit the community's lack of understanding of the legal implications of HPL certification. Legal certainty, which should protect indigenous communities, has instead become an instrument that threatens the existence and sustainability of centuries-old communal ownership systems.</w:t>
      </w:r>
    </w:p>
    <w:p w:rsidR="00000000" w:rsidDel="00000000" w:rsidP="00000000" w:rsidRDefault="00000000" w:rsidRPr="00000000" w14:paraId="0000005C">
      <w:pPr>
        <w:spacing w:line="276" w:lineRule="auto"/>
        <w:jc w:val="both"/>
        <w:rPr>
          <w:sz w:val="24"/>
          <w:szCs w:val="24"/>
        </w:rPr>
      </w:pPr>
      <w:r w:rsidDel="00000000" w:rsidR="00000000" w:rsidRPr="00000000">
        <w:rPr>
          <w:sz w:val="24"/>
          <w:szCs w:val="24"/>
          <w:rtl w:val="0"/>
        </w:rPr>
        <w:t xml:space="preserve">Furthermore, the implementation of HPL on customary land raises new problems because it uses an administrative format that does not align with communal characteristics. Minister of ATR/BPN Regulation Number 14 of 2024 stipulates the HPL application format, which requires identification of the legal subject in the form of the applicant's name, the designation of the customary law community, and land parcel data in a national standard format. This administrative format reflects an individualistic logic that views land as an object that can be measured, mapped, and registered according to modern technical standards. The requirement for supporting documents, such as a certificate explaining the genealogy of the group members and proof of physical possession, demonstrates an effort to accommodate communal characteristics while remaining within an individualistic framework. This administrative process has the potential to transform the communal nature of customary land into a bureaucratic object that can be managed according to state and market interests.</w:t>
      </w:r>
    </w:p>
    <w:p w:rsidR="00000000" w:rsidDel="00000000" w:rsidP="00000000" w:rsidRDefault="00000000" w:rsidRPr="00000000" w14:paraId="0000005D">
      <w:pPr>
        <w:spacing w:line="276" w:lineRule="auto"/>
        <w:jc w:val="both"/>
        <w:rPr>
          <w:sz w:val="24"/>
          <w:szCs w:val="24"/>
        </w:rPr>
      </w:pPr>
      <w:r w:rsidDel="00000000" w:rsidR="00000000" w:rsidRPr="00000000">
        <w:rPr>
          <w:sz w:val="24"/>
          <w:szCs w:val="24"/>
          <w:rtl w:val="0"/>
        </w:rPr>
        <w:t xml:space="preserve">Another structural problem lies in philosophical differences regarding the function and significance of land in community life. The Basic Agrarian Law (UUPA) views land as an economic resource that must be optimized for national development through market mechanisms and investment. Article 6 of the UUPA, concerning the social function of land, is often used in practice to justify land acquisitions in the name of public interest. The national legal system does not recognize the concept of land as a high inheritance with spiritual, social, and cultural dimensions, as in Minangkabau tradition. For the Minangkabau people, customary land is not merely an economic object but a foundation of identity and existence that is inseparable from communal life. The debate between the UGM school, which proposes registration without certification, and the UNAND school, which supports HPL certification, reflects a fundamental disagreement regarding how to integrate customary land into the national legal system. </w:t>
      </w:r>
    </w:p>
    <w:p w:rsidR="00000000" w:rsidDel="00000000" w:rsidP="00000000" w:rsidRDefault="00000000" w:rsidRPr="00000000" w14:paraId="0000005E">
      <w:pPr>
        <w:spacing w:line="276" w:lineRule="auto"/>
        <w:jc w:val="both"/>
        <w:rPr>
          <w:sz w:val="24"/>
          <w:szCs w:val="24"/>
        </w:rPr>
      </w:pPr>
      <w:r w:rsidDel="00000000" w:rsidR="00000000" w:rsidRPr="00000000">
        <w:rPr>
          <w:sz w:val="24"/>
          <w:szCs w:val="24"/>
          <w:rtl w:val="0"/>
        </w:rPr>
        <w:t xml:space="preserve">The transformation of customary land into HPL through Government Regulation 18 of 2021 demonstrates the inconsistency of the rule of law in implementing the principle of recognizing and protecting traditional rights. Professor Maria SW Sumarjono criticized the process of “stateization” of customary land, which reduces the inherent authority of customary law communities to a portion of state authority delegated through HPL. The individualistic concept of HPL contradicts the view of customary law communities, who view customary land as a shared interest and collective right. A true rule of law state should recognize that customary law communities do not require the delegation of state authority because they possess original authority that predates the formation of the Indonesian state. Equating customary law communities with the governing body is a fundamental error that denies the position of customary land within the concept of state control rights, which gives rise to three distinct land entities: state land, customary land, and land rights.</w:t>
      </w:r>
    </w:p>
    <w:p w:rsidR="00000000" w:rsidDel="00000000" w:rsidP="00000000" w:rsidRDefault="00000000" w:rsidRPr="00000000" w14:paraId="0000005F">
      <w:pPr>
        <w:spacing w:line="276" w:lineRule="auto"/>
        <w:jc w:val="both"/>
        <w:rPr>
          <w:sz w:val="24"/>
          <w:szCs w:val="24"/>
        </w:rPr>
      </w:pPr>
      <w:r w:rsidDel="00000000" w:rsidR="00000000" w:rsidRPr="00000000">
        <w:rPr>
          <w:sz w:val="24"/>
          <w:szCs w:val="24"/>
          <w:rtl w:val="0"/>
        </w:rPr>
        <w:t xml:space="preserve">The inconsistency between the UUPA and Minangkabau customary law reflects a clash between two legal systems with different paradigms. The UUPA, as a product of legal modernization, adheres to the principles of uniformity and centralization, which do not recognize legal pluralism in Indonesia's multicultural society. The individual ownership system in the UUPA contradicts the centuries-old communal ownership characteristics of Minangkabau. Attempts to impose an individualistic national legal system on customary land have the potential to destroy the social and cultural fabric of the Minangkabau people. Analysis based on the theory of the rule of law shows that the problems in regulating Minangkabau customary land ownership in national land law stem from the UUPA's positivistic orientation, which ignores the sociological and anthropological dimensions of Indonesian society.</w:t>
      </w:r>
    </w:p>
    <w:p w:rsidR="00000000" w:rsidDel="00000000" w:rsidP="00000000" w:rsidRDefault="00000000" w:rsidRPr="00000000" w14:paraId="00000060">
      <w:pPr>
        <w:spacing w:line="276" w:lineRule="auto"/>
        <w:jc w:val="both"/>
        <w:rPr>
          <w:sz w:val="24"/>
          <w:szCs w:val="24"/>
        </w:rPr>
      </w:pPr>
      <w:r w:rsidDel="00000000" w:rsidR="00000000" w:rsidRPr="00000000">
        <w:rPr>
          <w:sz w:val="24"/>
          <w:szCs w:val="24"/>
          <w:rtl w:val="0"/>
        </w:rPr>
        <w:t xml:space="preserve">The principle of legal certainty prioritized in the national legal system actually creates uncertainty for indigenous communities because it does not accommodate the characteristics of communal ownership that has existed for centuries. The Indonesian rule of law has not succeeded in creating harmonization between positive law and customary law as mandated in the General Explanation of the UUPA which states customary law as the basis of national agrarian law. Therefore, research by the Center for Agrarian and Customary Law Studies, Faculty of Law, Andalas University, shows that only 8.38% of the 543 nagari customary land studied remains intact, indicating the fragmentation of communal ownership due to the pressure of individual legal systems. This condition indicates the need for conceptual reconstruction in national agrarian law that can accommodate the characteristics of communal ownership without eliminating the essence and cultural values of indigenous communities.</w:t>
      </w:r>
    </w:p>
    <w:p w:rsidR="00000000" w:rsidDel="00000000" w:rsidP="00000000" w:rsidRDefault="00000000" w:rsidRPr="00000000" w14:paraId="00000061">
      <w:pPr>
        <w:pStyle w:val="Heading2"/>
        <w:keepLines w:val="1"/>
        <w:spacing w:after="0" w:before="0" w:line="276" w:lineRule="auto"/>
        <w:ind w:left="0" w:firstLine="0"/>
        <w:jc w:val="both"/>
        <w:rPr>
          <w:i w:val="0"/>
          <w:sz w:val="24"/>
          <w:szCs w:val="24"/>
        </w:rPr>
      </w:pPr>
      <w:r w:rsidDel="00000000" w:rsidR="00000000" w:rsidRPr="00000000">
        <w:rPr>
          <w:rtl w:val="0"/>
        </w:rPr>
      </w:r>
    </w:p>
    <w:p w:rsidR="00000000" w:rsidDel="00000000" w:rsidP="00000000" w:rsidRDefault="00000000" w:rsidRPr="00000000" w14:paraId="00000062">
      <w:pPr>
        <w:pStyle w:val="Heading2"/>
        <w:keepLines w:val="1"/>
        <w:spacing w:after="0" w:before="0" w:line="276" w:lineRule="auto"/>
        <w:ind w:left="0" w:firstLine="720"/>
        <w:jc w:val="both"/>
        <w:rPr>
          <w:i w:val="0"/>
          <w:sz w:val="24"/>
          <w:szCs w:val="24"/>
        </w:rPr>
      </w:pPr>
      <w:r w:rsidDel="00000000" w:rsidR="00000000" w:rsidRPr="00000000">
        <w:rPr>
          <w:i w:val="0"/>
          <w:sz w:val="24"/>
          <w:szCs w:val="24"/>
          <w:rtl w:val="0"/>
        </w:rPr>
        <w:t xml:space="preserve">5. CONCLUSION</w:t>
      </w:r>
    </w:p>
    <w:p w:rsidR="00000000" w:rsidDel="00000000" w:rsidP="00000000" w:rsidRDefault="00000000" w:rsidRPr="00000000" w14:paraId="00000063">
      <w:pPr>
        <w:spacing w:line="276" w:lineRule="auto"/>
        <w:ind w:left="0" w:firstLine="720"/>
        <w:jc w:val="both"/>
        <w:rPr>
          <w:sz w:val="24"/>
          <w:szCs w:val="24"/>
        </w:rPr>
      </w:pPr>
      <w:r w:rsidDel="00000000" w:rsidR="00000000" w:rsidRPr="00000000">
        <w:rPr>
          <w:sz w:val="24"/>
          <w:szCs w:val="24"/>
          <w:rtl w:val="0"/>
        </w:rPr>
        <w:t xml:space="preserve">The characteristics of the customary land ownership system based on Minangkabau customary law demonstrate a uniqueness that cannot be compared with the concept of ownership in Indonesian positive law. The matrilineal system that separates rights and ownership through the concept of “hak bamiliek harato bapunyo, hak nan banampu harapo nan bamiliek” creates a mechanism of communal ownership that is sustainable across generations with a three-level hierarchical structure: the customary land of the nagari, the tribe, and the kaum. The philosophy of “adat basandi syarak, syarak basandi Kitabullah” not only regulates spiritual aspects but also serves as a practical basis in the management of customary land that places land as a high heirloom asset that cannot be traded or mortgaged. The concept of “ganggam bauntuak pagang bamasiang” allows individual use within a framework of intact communal ownership, so that this system has proven capable of maintaining social cohesion, environmental sustainability, and distributive justice for centuries.</w:t>
      </w:r>
    </w:p>
    <w:p w:rsidR="00000000" w:rsidDel="00000000" w:rsidP="00000000" w:rsidRDefault="00000000" w:rsidRPr="00000000" w14:paraId="00000064">
      <w:pPr>
        <w:spacing w:line="276" w:lineRule="auto"/>
        <w:ind w:left="0" w:firstLine="720"/>
        <w:jc w:val="both"/>
        <w:rPr>
          <w:sz w:val="24"/>
          <w:szCs w:val="24"/>
        </w:rPr>
      </w:pPr>
      <w:r w:rsidDel="00000000" w:rsidR="00000000" w:rsidRPr="00000000">
        <w:rPr>
          <w:sz w:val="24"/>
          <w:szCs w:val="24"/>
          <w:rtl w:val="0"/>
        </w:rPr>
        <w:t xml:space="preserve">The inconsistency between the UUPA and Minangkabau customary law stems from a fundamental paradigm clash between the capitalist-oriented individual ownership system and the communal ownership system based on traditional values. The UUPA, which adheres to the principles of uniformity and centralization, fails to accommodate Indonesian legal pluralism, as reflected in the conditional recognition in Article 3 of the UUPA, which places customary rights in a subordinate position and is vulnerable to intervention in the name of national interests. The transformation of customary land into HPL through Government Regulation 18 of 2021 actually creates a contradiction in legal certainty, where efforts to provide legal protection have the potential to destroy the communal ownership system through individualistic certification mechanisms and an investment-oriented orientation that allows for the imposition of mortgages. Thus, the failure of the Indonesian rule of law to protect the constitutional rights of indigenous peoples demonstrates the need for a fundamental reconstruction of the national agrarian legal paradigm that can harmonize positive law with customary law without sacrificing the essence and cultural values of the Minangkabau people.</w:t>
      </w:r>
    </w:p>
    <w:p w:rsidR="00000000" w:rsidDel="00000000" w:rsidP="00000000" w:rsidRDefault="00000000" w:rsidRPr="00000000" w14:paraId="00000065">
      <w:pPr>
        <w:pStyle w:val="Heading1"/>
        <w:keepLines w:val="1"/>
        <w:spacing w:after="0" w:before="0" w:line="276" w:lineRule="auto"/>
        <w:jc w:val="both"/>
        <w:rPr>
          <w:sz w:val="24"/>
          <w:szCs w:val="24"/>
        </w:rPr>
      </w:pPr>
      <w:r w:rsidDel="00000000" w:rsidR="00000000" w:rsidRPr="00000000">
        <w:rPr>
          <w:rtl w:val="0"/>
        </w:rPr>
      </w:r>
    </w:p>
    <w:p w:rsidR="00000000" w:rsidDel="00000000" w:rsidP="00000000" w:rsidRDefault="00000000" w:rsidRPr="00000000" w14:paraId="00000066">
      <w:pPr>
        <w:pStyle w:val="Heading1"/>
        <w:keepLines w:val="1"/>
        <w:spacing w:after="0" w:before="0" w:line="276" w:lineRule="auto"/>
        <w:jc w:val="both"/>
        <w:rPr>
          <w:sz w:val="24"/>
          <w:szCs w:val="24"/>
        </w:rPr>
      </w:pPr>
      <w:bookmarkStart w:colFirst="0" w:colLast="0" w:name="_1cuqqgj0fn6p" w:id="1"/>
      <w:bookmarkEnd w:id="1"/>
      <w:r w:rsidDel="00000000" w:rsidR="00000000" w:rsidRPr="00000000">
        <w:rPr>
          <w:rtl w:val="0"/>
        </w:rPr>
      </w:r>
    </w:p>
    <w:p w:rsidR="00000000" w:rsidDel="00000000" w:rsidP="00000000" w:rsidRDefault="00000000" w:rsidRPr="00000000" w14:paraId="00000067">
      <w:pPr>
        <w:pStyle w:val="Heading1"/>
        <w:keepLines w:val="1"/>
        <w:spacing w:after="0" w:before="0" w:line="276" w:lineRule="auto"/>
        <w:jc w:val="both"/>
        <w:rPr>
          <w:sz w:val="24"/>
          <w:szCs w:val="24"/>
        </w:rPr>
      </w:pPr>
      <w:bookmarkStart w:colFirst="0" w:colLast="0" w:name="_394yuu1062xj" w:id="2"/>
      <w:bookmarkEnd w:id="2"/>
      <w:r w:rsidDel="00000000" w:rsidR="00000000" w:rsidRPr="00000000">
        <w:rPr>
          <w:sz w:val="24"/>
          <w:szCs w:val="24"/>
          <w:rtl w:val="0"/>
        </w:rPr>
        <w:t xml:space="preserve">REFERENCES</w:t>
      </w:r>
    </w:p>
    <w:p w:rsidR="00000000" w:rsidDel="00000000" w:rsidP="00000000" w:rsidRDefault="00000000" w:rsidRPr="00000000" w14:paraId="00000068">
      <w:pPr>
        <w:spacing w:line="276" w:lineRule="auto"/>
        <w:ind w:left="720" w:hanging="720"/>
        <w:jc w:val="both"/>
        <w:rPr>
          <w:b w:val="1"/>
          <w:sz w:val="24"/>
          <w:szCs w:val="24"/>
        </w:rPr>
      </w:pPr>
      <w:r w:rsidDel="00000000" w:rsidR="00000000" w:rsidRPr="00000000">
        <w:rPr>
          <w:rtl w:val="0"/>
        </w:rPr>
      </w:r>
    </w:p>
    <w:p w:rsidR="00000000" w:rsidDel="00000000" w:rsidP="00000000" w:rsidRDefault="00000000" w:rsidRPr="00000000" w14:paraId="00000069">
      <w:pPr>
        <w:spacing w:line="276" w:lineRule="auto"/>
        <w:ind w:left="720" w:hanging="720"/>
        <w:jc w:val="both"/>
        <w:rPr>
          <w:b w:val="1"/>
          <w:sz w:val="24"/>
          <w:szCs w:val="24"/>
        </w:rPr>
      </w:pPr>
      <w:r w:rsidDel="00000000" w:rsidR="00000000" w:rsidRPr="00000000">
        <w:rPr>
          <w:b w:val="1"/>
          <w:sz w:val="24"/>
          <w:szCs w:val="24"/>
          <w:rtl w:val="0"/>
        </w:rPr>
        <w:t xml:space="preserve">A. Book</w:t>
      </w:r>
    </w:p>
    <w:p w:rsidR="00000000" w:rsidDel="00000000" w:rsidP="00000000" w:rsidRDefault="00000000" w:rsidRPr="00000000" w14:paraId="0000006A">
      <w:pPr>
        <w:spacing w:line="276" w:lineRule="auto"/>
        <w:ind w:left="720" w:hanging="720"/>
        <w:jc w:val="both"/>
        <w:rPr>
          <w:sz w:val="24"/>
          <w:szCs w:val="24"/>
        </w:rPr>
      </w:pPr>
      <w:r w:rsidDel="00000000" w:rsidR="00000000" w:rsidRPr="00000000">
        <w:rPr>
          <w:sz w:val="24"/>
          <w:szCs w:val="24"/>
          <w:rtl w:val="0"/>
        </w:rPr>
        <w:t xml:space="preserve">Amiruddin &amp; Zainal A. (2006). </w:t>
      </w:r>
      <w:r w:rsidDel="00000000" w:rsidR="00000000" w:rsidRPr="00000000">
        <w:rPr>
          <w:i w:val="1"/>
          <w:sz w:val="24"/>
          <w:szCs w:val="24"/>
          <w:rtl w:val="0"/>
        </w:rPr>
        <w:t xml:space="preserve">Introduction to Legal Research Methods. </w:t>
      </w:r>
      <w:r w:rsidDel="00000000" w:rsidR="00000000" w:rsidRPr="00000000">
        <w:rPr>
          <w:sz w:val="24"/>
          <w:szCs w:val="24"/>
          <w:rtl w:val="0"/>
        </w:rPr>
        <w:t xml:space="preserve">Jakarta: Raja Grafindo Persada.</w:t>
      </w:r>
    </w:p>
    <w:p w:rsidR="00000000" w:rsidDel="00000000" w:rsidP="00000000" w:rsidRDefault="00000000" w:rsidRPr="00000000" w14:paraId="0000006B">
      <w:pPr>
        <w:spacing w:line="276" w:lineRule="auto"/>
        <w:ind w:left="720" w:hanging="720"/>
        <w:jc w:val="both"/>
        <w:rPr>
          <w:sz w:val="24"/>
          <w:szCs w:val="24"/>
        </w:rPr>
      </w:pPr>
      <w:r w:rsidDel="00000000" w:rsidR="00000000" w:rsidRPr="00000000">
        <w:rPr>
          <w:sz w:val="24"/>
          <w:szCs w:val="24"/>
          <w:rtl w:val="0"/>
        </w:rPr>
        <w:t xml:space="preserve">Boedi Harsono. </w:t>
      </w:r>
      <w:r w:rsidDel="00000000" w:rsidR="00000000" w:rsidRPr="00000000">
        <w:rPr>
          <w:i w:val="1"/>
          <w:sz w:val="24"/>
          <w:szCs w:val="24"/>
          <w:rtl w:val="0"/>
        </w:rPr>
        <w:t xml:space="preserve">Indonesian Agrarian Law: History of the Formation of the Basic Agrarian Law, Its Contents and Implementation </w:t>
      </w:r>
      <w:r w:rsidDel="00000000" w:rsidR="00000000" w:rsidRPr="00000000">
        <w:rPr>
          <w:sz w:val="24"/>
          <w:szCs w:val="24"/>
          <w:rtl w:val="0"/>
        </w:rPr>
        <w:t xml:space="preserve">. Jakarta: PT. Djambatan, 2003.</w:t>
      </w:r>
    </w:p>
    <w:p w:rsidR="00000000" w:rsidDel="00000000" w:rsidP="00000000" w:rsidRDefault="00000000" w:rsidRPr="00000000" w14:paraId="0000006C">
      <w:pPr>
        <w:spacing w:line="276" w:lineRule="auto"/>
        <w:ind w:left="720" w:hanging="720"/>
        <w:jc w:val="both"/>
        <w:rPr>
          <w:sz w:val="24"/>
          <w:szCs w:val="24"/>
        </w:rPr>
      </w:pPr>
      <w:r w:rsidDel="00000000" w:rsidR="00000000" w:rsidRPr="00000000">
        <w:rPr>
          <w:sz w:val="24"/>
          <w:szCs w:val="24"/>
          <w:rtl w:val="0"/>
        </w:rPr>
        <w:t xml:space="preserve">E. Fernando M. Manullang. </w:t>
      </w:r>
      <w:r w:rsidDel="00000000" w:rsidR="00000000" w:rsidRPr="00000000">
        <w:rPr>
          <w:i w:val="1"/>
          <w:sz w:val="24"/>
          <w:szCs w:val="24"/>
          <w:rtl w:val="0"/>
        </w:rPr>
        <w:t xml:space="preserve">Legism, Legality, and Legal Certainty </w:t>
      </w:r>
      <w:r w:rsidDel="00000000" w:rsidR="00000000" w:rsidRPr="00000000">
        <w:rPr>
          <w:sz w:val="24"/>
          <w:szCs w:val="24"/>
          <w:rtl w:val="0"/>
        </w:rPr>
        <w:t xml:space="preserve">. Jakarta: Prenadamedia Group, First Edition, 2016.</w:t>
      </w:r>
    </w:p>
    <w:p w:rsidR="00000000" w:rsidDel="00000000" w:rsidP="00000000" w:rsidRDefault="00000000" w:rsidRPr="00000000" w14:paraId="0000006D">
      <w:pPr>
        <w:spacing w:line="276" w:lineRule="auto"/>
        <w:ind w:left="720" w:hanging="720"/>
        <w:jc w:val="both"/>
        <w:rPr>
          <w:sz w:val="24"/>
          <w:szCs w:val="24"/>
        </w:rPr>
      </w:pPr>
      <w:r w:rsidDel="00000000" w:rsidR="00000000" w:rsidRPr="00000000">
        <w:rPr>
          <w:sz w:val="24"/>
          <w:szCs w:val="24"/>
          <w:rtl w:val="0"/>
        </w:rPr>
        <w:t xml:space="preserve">Helmy Panuh. </w:t>
      </w:r>
      <w:r w:rsidDel="00000000" w:rsidR="00000000" w:rsidRPr="00000000">
        <w:rPr>
          <w:i w:val="1"/>
          <w:sz w:val="24"/>
          <w:szCs w:val="24"/>
          <w:rtl w:val="0"/>
        </w:rPr>
        <w:t xml:space="preserve">Management of Nagari Customary Land in the Era of Government Decentralization in West Sumatra </w:t>
      </w:r>
      <w:r w:rsidDel="00000000" w:rsidR="00000000" w:rsidRPr="00000000">
        <w:rPr>
          <w:sz w:val="24"/>
          <w:szCs w:val="24"/>
          <w:rtl w:val="0"/>
        </w:rPr>
        <w:t xml:space="preserve">. Jakarta: PT. Rajawali Pers, 1st ed., 2012.</w:t>
      </w:r>
    </w:p>
    <w:p w:rsidR="00000000" w:rsidDel="00000000" w:rsidP="00000000" w:rsidRDefault="00000000" w:rsidRPr="00000000" w14:paraId="0000006E">
      <w:pPr>
        <w:spacing w:line="276" w:lineRule="auto"/>
        <w:ind w:left="720" w:hanging="720"/>
        <w:jc w:val="both"/>
        <w:rPr>
          <w:sz w:val="24"/>
          <w:szCs w:val="24"/>
        </w:rPr>
      </w:pPr>
      <w:r w:rsidDel="00000000" w:rsidR="00000000" w:rsidRPr="00000000">
        <w:rPr>
          <w:sz w:val="24"/>
          <w:szCs w:val="24"/>
          <w:rtl w:val="0"/>
        </w:rPr>
        <w:t xml:space="preserve">Munir Fuady. </w:t>
      </w:r>
      <w:r w:rsidDel="00000000" w:rsidR="00000000" w:rsidRPr="00000000">
        <w:rPr>
          <w:i w:val="1"/>
          <w:sz w:val="24"/>
          <w:szCs w:val="24"/>
          <w:rtl w:val="0"/>
        </w:rPr>
        <w:t xml:space="preserve">Grand Theories in Law </w:t>
      </w:r>
      <w:r w:rsidDel="00000000" w:rsidR="00000000" w:rsidRPr="00000000">
        <w:rPr>
          <w:sz w:val="24"/>
          <w:szCs w:val="24"/>
          <w:rtl w:val="0"/>
        </w:rPr>
        <w:t xml:space="preserve">. Jakarta: Prenadamedia Group, 2014, 3rd Edition.</w:t>
      </w:r>
    </w:p>
    <w:p w:rsidR="00000000" w:rsidDel="00000000" w:rsidP="00000000" w:rsidRDefault="00000000" w:rsidRPr="00000000" w14:paraId="0000006F">
      <w:pPr>
        <w:spacing w:line="276" w:lineRule="auto"/>
        <w:ind w:left="720" w:hanging="720"/>
        <w:jc w:val="both"/>
        <w:rPr>
          <w:sz w:val="24"/>
          <w:szCs w:val="24"/>
        </w:rPr>
      </w:pPr>
      <w:r w:rsidDel="00000000" w:rsidR="00000000" w:rsidRPr="00000000">
        <w:rPr>
          <w:sz w:val="24"/>
          <w:szCs w:val="24"/>
          <w:rtl w:val="0"/>
        </w:rPr>
        <w:t xml:space="preserve">Phlipus M. Hadjon. </w:t>
      </w:r>
      <w:r w:rsidDel="00000000" w:rsidR="00000000" w:rsidRPr="00000000">
        <w:rPr>
          <w:i w:val="1"/>
          <w:sz w:val="24"/>
          <w:szCs w:val="24"/>
          <w:rtl w:val="0"/>
        </w:rPr>
        <w:t xml:space="preserve">Legal Protection for the People in Indonesia </w:t>
      </w:r>
      <w:r w:rsidDel="00000000" w:rsidR="00000000" w:rsidRPr="00000000">
        <w:rPr>
          <w:sz w:val="24"/>
          <w:szCs w:val="24"/>
          <w:rtl w:val="0"/>
        </w:rPr>
        <w:t xml:space="preserve">. Surabaya: PT. Bina Ilmu, 1987.</w:t>
      </w:r>
    </w:p>
    <w:p w:rsidR="00000000" w:rsidDel="00000000" w:rsidP="00000000" w:rsidRDefault="00000000" w:rsidRPr="00000000" w14:paraId="00000070">
      <w:pPr>
        <w:spacing w:line="276" w:lineRule="auto"/>
        <w:ind w:left="720" w:hanging="720"/>
        <w:jc w:val="both"/>
        <w:rPr>
          <w:sz w:val="24"/>
          <w:szCs w:val="24"/>
        </w:rPr>
      </w:pPr>
      <w:r w:rsidDel="00000000" w:rsidR="00000000" w:rsidRPr="00000000">
        <w:rPr>
          <w:sz w:val="24"/>
          <w:szCs w:val="24"/>
          <w:rtl w:val="0"/>
        </w:rPr>
        <w:t xml:space="preserve">Rachman Sutanto. </w:t>
      </w:r>
      <w:r w:rsidDel="00000000" w:rsidR="00000000" w:rsidRPr="00000000">
        <w:rPr>
          <w:i w:val="1"/>
          <w:sz w:val="24"/>
          <w:szCs w:val="24"/>
          <w:rtl w:val="0"/>
        </w:rPr>
        <w:t xml:space="preserve">Basics of Soil Science, Concepts and Reality </w:t>
      </w:r>
      <w:r w:rsidDel="00000000" w:rsidR="00000000" w:rsidRPr="00000000">
        <w:rPr>
          <w:sz w:val="24"/>
          <w:szCs w:val="24"/>
          <w:rtl w:val="0"/>
        </w:rPr>
        <w:t xml:space="preserve">. Bandung: Kanisius, 2000.</w:t>
      </w:r>
    </w:p>
    <w:p w:rsidR="00000000" w:rsidDel="00000000" w:rsidP="00000000" w:rsidRDefault="00000000" w:rsidRPr="00000000" w14:paraId="00000071">
      <w:pPr>
        <w:spacing w:line="276" w:lineRule="auto"/>
        <w:ind w:left="720" w:hanging="720"/>
        <w:jc w:val="both"/>
        <w:rPr>
          <w:sz w:val="24"/>
          <w:szCs w:val="24"/>
        </w:rPr>
      </w:pPr>
      <w:r w:rsidDel="00000000" w:rsidR="00000000" w:rsidRPr="00000000">
        <w:rPr>
          <w:sz w:val="24"/>
          <w:szCs w:val="24"/>
          <w:rtl w:val="0"/>
        </w:rPr>
        <w:t xml:space="preserve">Rudy, Rudi Wijaya, Muhammad Amin Putra. </w:t>
      </w:r>
      <w:r w:rsidDel="00000000" w:rsidR="00000000" w:rsidRPr="00000000">
        <w:rPr>
          <w:i w:val="1"/>
          <w:sz w:val="24"/>
          <w:szCs w:val="24"/>
          <w:rtl w:val="0"/>
        </w:rPr>
        <w:t xml:space="preserve">Recognition of Customary Law and Customary Law Communities in the Indonesian Constitutional System </w:t>
      </w:r>
      <w:r w:rsidDel="00000000" w:rsidR="00000000" w:rsidRPr="00000000">
        <w:rPr>
          <w:sz w:val="24"/>
          <w:szCs w:val="24"/>
          <w:rtl w:val="0"/>
        </w:rPr>
        <w:t xml:space="preserve">. Jakarta: PT. Raja Grafindo Persada, 1st ed., 2021.</w:t>
      </w:r>
    </w:p>
    <w:p w:rsidR="00000000" w:rsidDel="00000000" w:rsidP="00000000" w:rsidRDefault="00000000" w:rsidRPr="00000000" w14:paraId="00000072">
      <w:pPr>
        <w:spacing w:line="276" w:lineRule="auto"/>
        <w:ind w:left="720" w:hanging="720"/>
        <w:jc w:val="both"/>
        <w:rPr>
          <w:sz w:val="24"/>
          <w:szCs w:val="24"/>
        </w:rPr>
      </w:pPr>
      <w:r w:rsidDel="00000000" w:rsidR="00000000" w:rsidRPr="00000000">
        <w:rPr>
          <w:sz w:val="24"/>
          <w:szCs w:val="24"/>
          <w:rtl w:val="0"/>
        </w:rPr>
        <w:t xml:space="preserve">Salim HS. </w:t>
      </w:r>
      <w:r w:rsidDel="00000000" w:rsidR="00000000" w:rsidRPr="00000000">
        <w:rPr>
          <w:i w:val="1"/>
          <w:sz w:val="24"/>
          <w:szCs w:val="24"/>
          <w:rtl w:val="0"/>
        </w:rPr>
        <w:t xml:space="preserve">One Deed Making Technique (Theoretical Concept, Notary Authority, Deed Form and Minutes) </w:t>
      </w:r>
      <w:r w:rsidDel="00000000" w:rsidR="00000000" w:rsidRPr="00000000">
        <w:rPr>
          <w:sz w:val="24"/>
          <w:szCs w:val="24"/>
          <w:rtl w:val="0"/>
        </w:rPr>
        <w:t xml:space="preserve">. Jakarta: PT. RajaGrafindo, 2015.</w:t>
      </w:r>
    </w:p>
    <w:p w:rsidR="00000000" w:rsidDel="00000000" w:rsidP="00000000" w:rsidRDefault="00000000" w:rsidRPr="00000000" w14:paraId="00000073">
      <w:pPr>
        <w:spacing w:line="276" w:lineRule="auto"/>
        <w:ind w:left="720" w:hanging="720"/>
        <w:jc w:val="both"/>
        <w:rPr>
          <w:sz w:val="24"/>
          <w:szCs w:val="24"/>
        </w:rPr>
      </w:pPr>
      <w:r w:rsidDel="00000000" w:rsidR="00000000" w:rsidRPr="00000000">
        <w:rPr>
          <w:sz w:val="24"/>
          <w:szCs w:val="24"/>
          <w:rtl w:val="0"/>
        </w:rPr>
        <w:t xml:space="preserve">Salim, HS, Erlies Septiana Nurbani. </w:t>
      </w:r>
      <w:r w:rsidDel="00000000" w:rsidR="00000000" w:rsidRPr="00000000">
        <w:rPr>
          <w:i w:val="1"/>
          <w:sz w:val="24"/>
          <w:szCs w:val="24"/>
          <w:rtl w:val="0"/>
        </w:rPr>
        <w:t xml:space="preserve">Application of Legal Theory in Dissertation and Thesis Research </w:t>
      </w:r>
      <w:r w:rsidDel="00000000" w:rsidR="00000000" w:rsidRPr="00000000">
        <w:rPr>
          <w:sz w:val="24"/>
          <w:szCs w:val="24"/>
          <w:rtl w:val="0"/>
        </w:rPr>
        <w:t xml:space="preserve">. Jakarta: Rajawali Pers, 3rd ed., 2016.</w:t>
      </w:r>
    </w:p>
    <w:p w:rsidR="00000000" w:rsidDel="00000000" w:rsidP="00000000" w:rsidRDefault="00000000" w:rsidRPr="00000000" w14:paraId="00000074">
      <w:pPr>
        <w:spacing w:line="276" w:lineRule="auto"/>
        <w:ind w:left="720" w:hanging="720"/>
        <w:jc w:val="both"/>
        <w:rPr>
          <w:sz w:val="24"/>
          <w:szCs w:val="24"/>
        </w:rPr>
      </w:pPr>
      <w:r w:rsidDel="00000000" w:rsidR="00000000" w:rsidRPr="00000000">
        <w:rPr>
          <w:sz w:val="24"/>
          <w:szCs w:val="24"/>
          <w:rtl w:val="0"/>
        </w:rPr>
        <w:t xml:space="preserve">Soekanto, S., &amp; Mamuji, S. (2013). </w:t>
      </w:r>
      <w:r w:rsidDel="00000000" w:rsidR="00000000" w:rsidRPr="00000000">
        <w:rPr>
          <w:i w:val="1"/>
          <w:sz w:val="24"/>
          <w:szCs w:val="24"/>
          <w:rtl w:val="0"/>
        </w:rPr>
        <w:t xml:space="preserve">Normative Legal Research: A Brief Review. </w:t>
      </w:r>
      <w:r w:rsidDel="00000000" w:rsidR="00000000" w:rsidRPr="00000000">
        <w:rPr>
          <w:sz w:val="24"/>
          <w:szCs w:val="24"/>
          <w:rtl w:val="0"/>
        </w:rPr>
        <w:t xml:space="preserve">Jakarta: Raja Grafindo Persada.</w:t>
      </w:r>
    </w:p>
    <w:p w:rsidR="00000000" w:rsidDel="00000000" w:rsidP="00000000" w:rsidRDefault="00000000" w:rsidRPr="00000000" w14:paraId="00000075">
      <w:pPr>
        <w:spacing w:line="276" w:lineRule="auto"/>
        <w:ind w:left="720" w:hanging="720"/>
        <w:jc w:val="both"/>
        <w:rPr>
          <w:b w:val="1"/>
          <w:sz w:val="24"/>
          <w:szCs w:val="24"/>
        </w:rPr>
      </w:pPr>
      <w:r w:rsidDel="00000000" w:rsidR="00000000" w:rsidRPr="00000000">
        <w:rPr>
          <w:rtl w:val="0"/>
        </w:rPr>
      </w:r>
    </w:p>
    <w:p w:rsidR="00000000" w:rsidDel="00000000" w:rsidP="00000000" w:rsidRDefault="00000000" w:rsidRPr="00000000" w14:paraId="00000076">
      <w:pPr>
        <w:spacing w:line="276" w:lineRule="auto"/>
        <w:ind w:left="720" w:hanging="720"/>
        <w:jc w:val="both"/>
        <w:rPr>
          <w:b w:val="1"/>
          <w:sz w:val="24"/>
          <w:szCs w:val="24"/>
        </w:rPr>
      </w:pPr>
      <w:r w:rsidDel="00000000" w:rsidR="00000000" w:rsidRPr="00000000">
        <w:rPr>
          <w:b w:val="1"/>
          <w:sz w:val="24"/>
          <w:szCs w:val="24"/>
          <w:rtl w:val="0"/>
        </w:rPr>
        <w:t xml:space="preserve">B. Journal</w:t>
      </w:r>
    </w:p>
    <w:p w:rsidR="00000000" w:rsidDel="00000000" w:rsidP="00000000" w:rsidRDefault="00000000" w:rsidRPr="00000000" w14:paraId="00000077">
      <w:pPr>
        <w:spacing w:line="276" w:lineRule="auto"/>
        <w:ind w:left="720" w:hanging="720"/>
        <w:jc w:val="both"/>
        <w:rPr>
          <w:sz w:val="24"/>
          <w:szCs w:val="24"/>
        </w:rPr>
      </w:pPr>
      <w:r w:rsidDel="00000000" w:rsidR="00000000" w:rsidRPr="00000000">
        <w:rPr>
          <w:sz w:val="24"/>
          <w:szCs w:val="24"/>
          <w:rtl w:val="0"/>
        </w:rPr>
        <w:t xml:space="preserve">Adek Chandra. “Customary Land Issues Following the Complete Systematic Land Registration Activity in West Sumatra.” </w:t>
      </w:r>
      <w:r w:rsidDel="00000000" w:rsidR="00000000" w:rsidRPr="00000000">
        <w:rPr>
          <w:i w:val="1"/>
          <w:sz w:val="24"/>
          <w:szCs w:val="24"/>
          <w:rtl w:val="0"/>
        </w:rPr>
        <w:t xml:space="preserve">Tunas Agraria Journal </w:t>
      </w:r>
      <w:r w:rsidDel="00000000" w:rsidR="00000000" w:rsidRPr="00000000">
        <w:rPr>
          <w:sz w:val="24"/>
          <w:szCs w:val="24"/>
          <w:rtl w:val="0"/>
        </w:rPr>
        <w:t xml:space="preserve">, Vol. 5 No. 2, May 2022.</w:t>
      </w:r>
    </w:p>
    <w:p w:rsidR="00000000" w:rsidDel="00000000" w:rsidP="00000000" w:rsidRDefault="00000000" w:rsidRPr="00000000" w14:paraId="00000078">
      <w:pPr>
        <w:spacing w:line="276" w:lineRule="auto"/>
        <w:ind w:left="720" w:hanging="720"/>
        <w:jc w:val="both"/>
        <w:rPr>
          <w:sz w:val="24"/>
          <w:szCs w:val="24"/>
        </w:rPr>
      </w:pPr>
      <w:r w:rsidDel="00000000" w:rsidR="00000000" w:rsidRPr="00000000">
        <w:rPr>
          <w:sz w:val="24"/>
          <w:szCs w:val="24"/>
          <w:rtl w:val="0"/>
        </w:rPr>
        <w:t xml:space="preserve">Arianto, T., Nugroho, T., Wahyono, EB, Yahman, Y., Utami, W., Sarjita, S., ... &amp; Martanto, R. (2015). “Agrarian Problems, Indigenous Community Systems, and the Body of Knowledge of Agrarian-Land Science.”</w:t>
      </w:r>
    </w:p>
    <w:p w:rsidR="00000000" w:rsidDel="00000000" w:rsidP="00000000" w:rsidRDefault="00000000" w:rsidRPr="00000000" w14:paraId="00000079">
      <w:pPr>
        <w:spacing w:line="276" w:lineRule="auto"/>
        <w:ind w:left="720" w:hanging="720"/>
        <w:jc w:val="both"/>
        <w:rPr>
          <w:sz w:val="24"/>
          <w:szCs w:val="24"/>
        </w:rPr>
      </w:pPr>
      <w:r w:rsidDel="00000000" w:rsidR="00000000" w:rsidRPr="00000000">
        <w:rPr>
          <w:sz w:val="24"/>
          <w:szCs w:val="24"/>
          <w:rtl w:val="0"/>
        </w:rPr>
        <w:t xml:space="preserve">Badu, LW, Kaluku, JA, &amp; Kaluku, A. (2021). “Protection of the Constitutional Rights of Indigenous Peoples in Boalemo Regency in the Implementation of Customary Sanctions.” </w:t>
      </w:r>
      <w:r w:rsidDel="00000000" w:rsidR="00000000" w:rsidRPr="00000000">
        <w:rPr>
          <w:i w:val="1"/>
          <w:sz w:val="24"/>
          <w:szCs w:val="24"/>
          <w:rtl w:val="0"/>
        </w:rPr>
        <w:t xml:space="preserve">Constitutional Journal </w:t>
      </w:r>
      <w:r w:rsidDel="00000000" w:rsidR="00000000" w:rsidRPr="00000000">
        <w:rPr>
          <w:sz w:val="24"/>
          <w:szCs w:val="24"/>
          <w:rtl w:val="0"/>
        </w:rPr>
        <w:t xml:space="preserve">, 18(1), 219-239.</w:t>
      </w:r>
    </w:p>
    <w:p w:rsidR="00000000" w:rsidDel="00000000" w:rsidP="00000000" w:rsidRDefault="00000000" w:rsidRPr="00000000" w14:paraId="0000007A">
      <w:pPr>
        <w:spacing w:line="276" w:lineRule="auto"/>
        <w:ind w:left="720" w:hanging="720"/>
        <w:jc w:val="both"/>
        <w:rPr>
          <w:sz w:val="24"/>
          <w:szCs w:val="24"/>
        </w:rPr>
      </w:pPr>
      <w:r w:rsidDel="00000000" w:rsidR="00000000" w:rsidRPr="00000000">
        <w:rPr>
          <w:sz w:val="24"/>
          <w:szCs w:val="24"/>
          <w:rtl w:val="0"/>
        </w:rPr>
        <w:t xml:space="preserve">Citrawan, Fitrah Akbar. “The Concept of Customary Land Ownership of the Minangkabau Indigenous Community.” </w:t>
      </w:r>
      <w:r w:rsidDel="00000000" w:rsidR="00000000" w:rsidRPr="00000000">
        <w:rPr>
          <w:i w:val="1"/>
          <w:sz w:val="24"/>
          <w:szCs w:val="24"/>
          <w:rtl w:val="0"/>
        </w:rPr>
        <w:t xml:space="preserve">Journal of Law &amp; Development </w:t>
      </w:r>
      <w:r w:rsidDel="00000000" w:rsidR="00000000" w:rsidRPr="00000000">
        <w:rPr>
          <w:sz w:val="24"/>
          <w:szCs w:val="24"/>
          <w:rtl w:val="0"/>
        </w:rPr>
        <w:t xml:space="preserve">50.3 (2020).</w:t>
      </w:r>
    </w:p>
    <w:p w:rsidR="00000000" w:rsidDel="00000000" w:rsidP="00000000" w:rsidRDefault="00000000" w:rsidRPr="00000000" w14:paraId="0000007B">
      <w:pPr>
        <w:spacing w:line="276" w:lineRule="auto"/>
        <w:ind w:left="720" w:hanging="720"/>
        <w:jc w:val="both"/>
        <w:rPr>
          <w:sz w:val="24"/>
          <w:szCs w:val="24"/>
        </w:rPr>
      </w:pPr>
      <w:r w:rsidDel="00000000" w:rsidR="00000000" w:rsidRPr="00000000">
        <w:rPr>
          <w:sz w:val="24"/>
          <w:szCs w:val="24"/>
          <w:rtl w:val="0"/>
        </w:rPr>
        <w:t xml:space="preserve">Earlene, F., &amp; Sitabuana, TH (2024). “State responsibility towards the rights of indigenous peoples on Rempang Island from a human rights perspective.” </w:t>
      </w:r>
      <w:r w:rsidDel="00000000" w:rsidR="00000000" w:rsidRPr="00000000">
        <w:rPr>
          <w:i w:val="1"/>
          <w:sz w:val="24"/>
          <w:szCs w:val="24"/>
          <w:rtl w:val="0"/>
        </w:rPr>
        <w:t xml:space="preserve">Tunas Agraria </w:t>
      </w:r>
      <w:r w:rsidDel="00000000" w:rsidR="00000000" w:rsidRPr="00000000">
        <w:rPr>
          <w:sz w:val="24"/>
          <w:szCs w:val="24"/>
          <w:rtl w:val="0"/>
        </w:rPr>
        <w:t xml:space="preserve">, 7(2), 144-161.</w:t>
      </w:r>
    </w:p>
    <w:p w:rsidR="00000000" w:rsidDel="00000000" w:rsidP="00000000" w:rsidRDefault="00000000" w:rsidRPr="00000000" w14:paraId="0000007C">
      <w:pPr>
        <w:spacing w:line="276" w:lineRule="auto"/>
        <w:ind w:left="720" w:hanging="720"/>
        <w:jc w:val="both"/>
        <w:rPr>
          <w:sz w:val="24"/>
          <w:szCs w:val="24"/>
        </w:rPr>
      </w:pPr>
      <w:r w:rsidDel="00000000" w:rsidR="00000000" w:rsidRPr="00000000">
        <w:rPr>
          <w:sz w:val="24"/>
          <w:szCs w:val="24"/>
          <w:rtl w:val="0"/>
        </w:rPr>
        <w:t xml:space="preserve">Fitri, R. (2018). “Agrarian Law in the Land Sector After Regional Autonomy.” </w:t>
      </w:r>
      <w:r w:rsidDel="00000000" w:rsidR="00000000" w:rsidRPr="00000000">
        <w:rPr>
          <w:i w:val="1"/>
          <w:sz w:val="24"/>
          <w:szCs w:val="24"/>
          <w:rtl w:val="0"/>
        </w:rPr>
        <w:t xml:space="preserve">Kanun Journal of Legal Studies </w:t>
      </w:r>
      <w:r w:rsidDel="00000000" w:rsidR="00000000" w:rsidRPr="00000000">
        <w:rPr>
          <w:sz w:val="24"/>
          <w:szCs w:val="24"/>
          <w:rtl w:val="0"/>
        </w:rPr>
        <w:t xml:space="preserve">, 20(3), 421-438.</w:t>
      </w:r>
    </w:p>
    <w:p w:rsidR="00000000" w:rsidDel="00000000" w:rsidP="00000000" w:rsidRDefault="00000000" w:rsidRPr="00000000" w14:paraId="0000007D">
      <w:pPr>
        <w:spacing w:line="276" w:lineRule="auto"/>
        <w:ind w:left="720" w:hanging="720"/>
        <w:jc w:val="both"/>
        <w:rPr>
          <w:sz w:val="24"/>
          <w:szCs w:val="24"/>
        </w:rPr>
      </w:pPr>
      <w:r w:rsidDel="00000000" w:rsidR="00000000" w:rsidRPr="00000000">
        <w:rPr>
          <w:sz w:val="24"/>
          <w:szCs w:val="24"/>
          <w:rtl w:val="0"/>
        </w:rPr>
        <w:t xml:space="preserve">Lubis, Ikhsan, et al. “Integration of customary law in the national agrarian legal system: Challenges and solutions in recognizing customary rights.” </w:t>
      </w:r>
      <w:r w:rsidDel="00000000" w:rsidR="00000000" w:rsidRPr="00000000">
        <w:rPr>
          <w:i w:val="1"/>
          <w:sz w:val="24"/>
          <w:szCs w:val="24"/>
          <w:rtl w:val="0"/>
        </w:rPr>
        <w:t xml:space="preserve">Tunas Agraria </w:t>
      </w:r>
      <w:r w:rsidDel="00000000" w:rsidR="00000000" w:rsidRPr="00000000">
        <w:rPr>
          <w:sz w:val="24"/>
          <w:szCs w:val="24"/>
          <w:rtl w:val="0"/>
        </w:rPr>
        <w:t xml:space="preserve">8.2 (2025): 143-158.</w:t>
      </w:r>
    </w:p>
    <w:p w:rsidR="00000000" w:rsidDel="00000000" w:rsidP="00000000" w:rsidRDefault="00000000" w:rsidRPr="00000000" w14:paraId="0000007E">
      <w:pPr>
        <w:spacing w:line="276" w:lineRule="auto"/>
        <w:ind w:left="720" w:hanging="720"/>
        <w:jc w:val="both"/>
        <w:rPr>
          <w:sz w:val="24"/>
          <w:szCs w:val="24"/>
        </w:rPr>
      </w:pPr>
      <w:r w:rsidDel="00000000" w:rsidR="00000000" w:rsidRPr="00000000">
        <w:rPr>
          <w:sz w:val="24"/>
          <w:szCs w:val="24"/>
          <w:rtl w:val="0"/>
        </w:rPr>
        <w:t xml:space="preserve">Muhdar, MZ, &amp; Jasmaniar, J. (2021). “The Rights of Indigenous Peoples: A Comparative Study of the UN Declaration on the Rights of Indigenous Peoples and Article 18 B Paragraph 2 of the 1945 Constitution of the Republic of Indonesia.” </w:t>
      </w:r>
      <w:r w:rsidDel="00000000" w:rsidR="00000000" w:rsidRPr="00000000">
        <w:rPr>
          <w:i w:val="1"/>
          <w:sz w:val="24"/>
          <w:szCs w:val="24"/>
          <w:rtl w:val="0"/>
        </w:rPr>
        <w:t xml:space="preserve">Indonesian Journal of Criminal Law </w:t>
      </w:r>
      <w:r w:rsidDel="00000000" w:rsidR="00000000" w:rsidRPr="00000000">
        <w:rPr>
          <w:sz w:val="24"/>
          <w:szCs w:val="24"/>
          <w:rtl w:val="0"/>
        </w:rPr>
        <w:t xml:space="preserve">, 3(2), 119-134.</w:t>
      </w:r>
    </w:p>
    <w:p w:rsidR="00000000" w:rsidDel="00000000" w:rsidP="00000000" w:rsidRDefault="00000000" w:rsidRPr="00000000" w14:paraId="0000007F">
      <w:pPr>
        <w:spacing w:line="276" w:lineRule="auto"/>
        <w:ind w:left="720" w:hanging="720"/>
        <w:jc w:val="both"/>
        <w:rPr>
          <w:sz w:val="24"/>
          <w:szCs w:val="24"/>
        </w:rPr>
      </w:pPr>
      <w:r w:rsidDel="00000000" w:rsidR="00000000" w:rsidRPr="00000000">
        <w:rPr>
          <w:sz w:val="24"/>
          <w:szCs w:val="24"/>
          <w:rtl w:val="0"/>
        </w:rPr>
        <w:t xml:space="preserve">Muslim Andi Yusuf. “Legal Certainty of the Rights of Indigenous Communities to Land and Natural Resources.” </w:t>
      </w:r>
      <w:r w:rsidDel="00000000" w:rsidR="00000000" w:rsidRPr="00000000">
        <w:rPr>
          <w:i w:val="1"/>
          <w:sz w:val="24"/>
          <w:szCs w:val="24"/>
          <w:rtl w:val="0"/>
        </w:rPr>
        <w:t xml:space="preserve">Proceedings of the National Seminar </w:t>
      </w:r>
      <w:r w:rsidDel="00000000" w:rsidR="00000000" w:rsidRPr="00000000">
        <w:rPr>
          <w:sz w:val="24"/>
          <w:szCs w:val="24"/>
          <w:rtl w:val="0"/>
        </w:rPr>
        <w:t xml:space="preserve">Volume 02, Number 1.</w:t>
      </w:r>
    </w:p>
    <w:p w:rsidR="00000000" w:rsidDel="00000000" w:rsidP="00000000" w:rsidRDefault="00000000" w:rsidRPr="00000000" w14:paraId="00000080">
      <w:pPr>
        <w:spacing w:line="276" w:lineRule="auto"/>
        <w:ind w:left="720" w:hanging="720"/>
        <w:jc w:val="both"/>
        <w:rPr>
          <w:sz w:val="24"/>
          <w:szCs w:val="24"/>
        </w:rPr>
      </w:pPr>
      <w:r w:rsidDel="00000000" w:rsidR="00000000" w:rsidRPr="00000000">
        <w:rPr>
          <w:sz w:val="24"/>
          <w:szCs w:val="24"/>
          <w:rtl w:val="0"/>
        </w:rPr>
        <w:t xml:space="preserve">Prakoso, Bhim. “Complete Systematic Land Registration as a Basis for Changing the Land Registration Publication System.” </w:t>
      </w:r>
      <w:r w:rsidDel="00000000" w:rsidR="00000000" w:rsidRPr="00000000">
        <w:rPr>
          <w:i w:val="1"/>
          <w:sz w:val="24"/>
          <w:szCs w:val="24"/>
          <w:rtl w:val="0"/>
        </w:rPr>
        <w:t xml:space="preserve">Journal of Private and Economic Law </w:t>
      </w:r>
      <w:r w:rsidDel="00000000" w:rsidR="00000000" w:rsidRPr="00000000">
        <w:rPr>
          <w:sz w:val="24"/>
          <w:szCs w:val="24"/>
          <w:rtl w:val="0"/>
        </w:rPr>
        <w:t xml:space="preserve">1.1 (2021).</w:t>
      </w:r>
    </w:p>
    <w:p w:rsidR="00000000" w:rsidDel="00000000" w:rsidP="00000000" w:rsidRDefault="00000000" w:rsidRPr="00000000" w14:paraId="00000081">
      <w:pPr>
        <w:spacing w:line="276" w:lineRule="auto"/>
        <w:ind w:left="720" w:hanging="720"/>
        <w:jc w:val="both"/>
        <w:rPr>
          <w:sz w:val="24"/>
          <w:szCs w:val="24"/>
        </w:rPr>
      </w:pPr>
      <w:r w:rsidDel="00000000" w:rsidR="00000000" w:rsidRPr="00000000">
        <w:rPr>
          <w:sz w:val="24"/>
          <w:szCs w:val="24"/>
          <w:rtl w:val="0"/>
        </w:rPr>
        <w:t xml:space="preserve">Purwaningsih, Prihatini, Latifah Ratnawaty, and Zulmi Hendri. “The process of implementing the registration of customary rights of the Minangkabau customary law community.” </w:t>
      </w:r>
      <w:r w:rsidDel="00000000" w:rsidR="00000000" w:rsidRPr="00000000">
        <w:rPr>
          <w:i w:val="1"/>
          <w:sz w:val="24"/>
          <w:szCs w:val="24"/>
          <w:rtl w:val="0"/>
        </w:rPr>
        <w:t xml:space="preserve">Yustisi </w:t>
      </w:r>
      <w:r w:rsidDel="00000000" w:rsidR="00000000" w:rsidRPr="00000000">
        <w:rPr>
          <w:sz w:val="24"/>
          <w:szCs w:val="24"/>
          <w:rtl w:val="0"/>
        </w:rPr>
        <w:t xml:space="preserve">4.1 (2017).</w:t>
      </w:r>
    </w:p>
    <w:p w:rsidR="00000000" w:rsidDel="00000000" w:rsidP="00000000" w:rsidRDefault="00000000" w:rsidRPr="00000000" w14:paraId="00000082">
      <w:pPr>
        <w:spacing w:line="276" w:lineRule="auto"/>
        <w:ind w:left="720" w:hanging="720"/>
        <w:jc w:val="both"/>
        <w:rPr>
          <w:sz w:val="24"/>
          <w:szCs w:val="24"/>
        </w:rPr>
      </w:pPr>
      <w:r w:rsidDel="00000000" w:rsidR="00000000" w:rsidRPr="00000000">
        <w:rPr>
          <w:sz w:val="24"/>
          <w:szCs w:val="24"/>
          <w:rtl w:val="0"/>
        </w:rPr>
        <w:t xml:space="preserve">Sari, Ni Luh Ariningsih. “The concept of the state's right to control land in land law (UUPA) and the constitution.” </w:t>
      </w:r>
      <w:r w:rsidDel="00000000" w:rsidR="00000000" w:rsidRPr="00000000">
        <w:rPr>
          <w:i w:val="1"/>
          <w:sz w:val="24"/>
          <w:szCs w:val="24"/>
          <w:rtl w:val="0"/>
        </w:rPr>
        <w:t xml:space="preserve">Jurnal Ganec Swara </w:t>
      </w:r>
      <w:r w:rsidDel="00000000" w:rsidR="00000000" w:rsidRPr="00000000">
        <w:rPr>
          <w:sz w:val="24"/>
          <w:szCs w:val="24"/>
          <w:rtl w:val="0"/>
        </w:rPr>
        <w:t xml:space="preserve">15.1 (2021).</w:t>
      </w:r>
    </w:p>
    <w:p w:rsidR="00000000" w:rsidDel="00000000" w:rsidP="00000000" w:rsidRDefault="00000000" w:rsidRPr="00000000" w14:paraId="00000083">
      <w:pPr>
        <w:spacing w:line="276" w:lineRule="auto"/>
        <w:ind w:left="720" w:hanging="720"/>
        <w:jc w:val="both"/>
        <w:rPr>
          <w:sz w:val="24"/>
          <w:szCs w:val="24"/>
        </w:rPr>
      </w:pPr>
      <w:r w:rsidDel="00000000" w:rsidR="00000000" w:rsidRPr="00000000">
        <w:rPr>
          <w:sz w:val="24"/>
          <w:szCs w:val="24"/>
          <w:rtl w:val="0"/>
        </w:rPr>
        <w:t xml:space="preserve">Triani, Luwes Dwi, et al. “The Influence of Modernization on the Maintenance of Customary Land in Minangkabau.” </w:t>
      </w:r>
      <w:r w:rsidDel="00000000" w:rsidR="00000000" w:rsidRPr="00000000">
        <w:rPr>
          <w:i w:val="1"/>
          <w:sz w:val="24"/>
          <w:szCs w:val="24"/>
          <w:rtl w:val="0"/>
        </w:rPr>
        <w:t xml:space="preserve">Bureaucracy: Journal of Law and Constitutional Studies </w:t>
      </w:r>
      <w:r w:rsidDel="00000000" w:rsidR="00000000" w:rsidRPr="00000000">
        <w:rPr>
          <w:sz w:val="24"/>
          <w:szCs w:val="24"/>
          <w:rtl w:val="0"/>
        </w:rPr>
        <w:t xml:space="preserve">2.2 (2024).</w:t>
      </w:r>
    </w:p>
    <w:p w:rsidR="00000000" w:rsidDel="00000000" w:rsidP="00000000" w:rsidRDefault="00000000" w:rsidRPr="00000000" w14:paraId="00000084">
      <w:pPr>
        <w:spacing w:line="276" w:lineRule="auto"/>
        <w:ind w:left="720" w:hanging="720"/>
        <w:jc w:val="both"/>
        <w:rPr>
          <w:sz w:val="24"/>
          <w:szCs w:val="24"/>
        </w:rPr>
      </w:pPr>
      <w:r w:rsidDel="00000000" w:rsidR="00000000" w:rsidRPr="00000000">
        <w:rPr>
          <w:sz w:val="24"/>
          <w:szCs w:val="24"/>
          <w:rtl w:val="0"/>
        </w:rPr>
        <w:t xml:space="preserve">Tumbel, Zidane. “Legal Protection of Indigenous Peoples' Cultural Rights from a Human Rights Law Perspective.” </w:t>
      </w:r>
      <w:r w:rsidDel="00000000" w:rsidR="00000000" w:rsidRPr="00000000">
        <w:rPr>
          <w:i w:val="1"/>
          <w:sz w:val="24"/>
          <w:szCs w:val="24"/>
          <w:rtl w:val="0"/>
        </w:rPr>
        <w:t xml:space="preserve">Lex Et Societatis </w:t>
      </w:r>
      <w:r w:rsidDel="00000000" w:rsidR="00000000" w:rsidRPr="00000000">
        <w:rPr>
          <w:sz w:val="24"/>
          <w:szCs w:val="24"/>
          <w:rtl w:val="0"/>
        </w:rPr>
        <w:t xml:space="preserve">8.1 (2020).</w:t>
      </w:r>
    </w:p>
    <w:p w:rsidR="00000000" w:rsidDel="00000000" w:rsidP="00000000" w:rsidRDefault="00000000" w:rsidRPr="00000000" w14:paraId="00000085">
      <w:pPr>
        <w:spacing w:line="276" w:lineRule="auto"/>
        <w:ind w:left="720" w:hanging="720"/>
        <w:jc w:val="both"/>
        <w:rPr>
          <w:b w:val="1"/>
          <w:sz w:val="24"/>
          <w:szCs w:val="24"/>
        </w:rPr>
      </w:pPr>
      <w:r w:rsidDel="00000000" w:rsidR="00000000" w:rsidRPr="00000000">
        <w:rPr>
          <w:rtl w:val="0"/>
        </w:rPr>
      </w:r>
    </w:p>
    <w:p w:rsidR="00000000" w:rsidDel="00000000" w:rsidP="00000000" w:rsidRDefault="00000000" w:rsidRPr="00000000" w14:paraId="00000086">
      <w:pPr>
        <w:spacing w:line="276" w:lineRule="auto"/>
        <w:ind w:left="720" w:hanging="720"/>
        <w:jc w:val="both"/>
        <w:rPr>
          <w:b w:val="1"/>
          <w:sz w:val="24"/>
          <w:szCs w:val="24"/>
        </w:rPr>
      </w:pPr>
      <w:r w:rsidDel="00000000" w:rsidR="00000000" w:rsidRPr="00000000">
        <w:rPr>
          <w:b w:val="1"/>
          <w:sz w:val="24"/>
          <w:szCs w:val="24"/>
          <w:rtl w:val="0"/>
        </w:rPr>
        <w:t xml:space="preserve">C. Thesis</w:t>
      </w:r>
    </w:p>
    <w:p w:rsidR="00000000" w:rsidDel="00000000" w:rsidP="00000000" w:rsidRDefault="00000000" w:rsidRPr="00000000" w14:paraId="00000087">
      <w:pPr>
        <w:spacing w:line="276" w:lineRule="auto"/>
        <w:ind w:left="720" w:hanging="720"/>
        <w:jc w:val="both"/>
        <w:rPr>
          <w:sz w:val="24"/>
          <w:szCs w:val="24"/>
        </w:rPr>
      </w:pPr>
      <w:r w:rsidDel="00000000" w:rsidR="00000000" w:rsidRPr="00000000">
        <w:rPr>
          <w:sz w:val="24"/>
          <w:szCs w:val="24"/>
          <w:rtl w:val="0"/>
        </w:rPr>
        <w:t xml:space="preserve">Dian Cahyaningrum. </w:t>
      </w:r>
      <w:r w:rsidDel="00000000" w:rsidR="00000000" w:rsidRPr="00000000">
        <w:rPr>
          <w:i w:val="1"/>
          <w:sz w:val="24"/>
          <w:szCs w:val="24"/>
          <w:rtl w:val="0"/>
        </w:rPr>
        <w:t xml:space="preserve">Customary Land Management Rights of Indigenous Communities for Investment Purposes </w:t>
      </w:r>
      <w:r w:rsidDel="00000000" w:rsidR="00000000" w:rsidRPr="00000000">
        <w:rPr>
          <w:sz w:val="24"/>
          <w:szCs w:val="24"/>
          <w:rtl w:val="0"/>
        </w:rPr>
        <w:t xml:space="preserve">. Research Center of the Expertise Body of the Secretariat General of the Indonesian House of Representatives, MPR/DPR/DPD Complex, Jakarta, June 30, 2022.</w:t>
      </w:r>
    </w:p>
    <w:p w:rsidR="00000000" w:rsidDel="00000000" w:rsidP="00000000" w:rsidRDefault="00000000" w:rsidRPr="00000000" w14:paraId="00000088">
      <w:pPr>
        <w:spacing w:line="276" w:lineRule="auto"/>
        <w:ind w:left="720" w:hanging="720"/>
        <w:jc w:val="both"/>
        <w:rPr>
          <w:sz w:val="24"/>
          <w:szCs w:val="24"/>
        </w:rPr>
      </w:pPr>
      <w:r w:rsidDel="00000000" w:rsidR="00000000" w:rsidRPr="00000000">
        <w:rPr>
          <w:sz w:val="24"/>
          <w:szCs w:val="24"/>
          <w:rtl w:val="0"/>
        </w:rPr>
        <w:t xml:space="preserve">I Gusti Agung Oka Diatmika. </w:t>
      </w:r>
      <w:r w:rsidDel="00000000" w:rsidR="00000000" w:rsidRPr="00000000">
        <w:rPr>
          <w:i w:val="1"/>
          <w:sz w:val="24"/>
          <w:szCs w:val="24"/>
          <w:rtl w:val="0"/>
        </w:rPr>
        <w:t xml:space="preserve">“Legal Protection for Notaries in Relation to Allegations of Malpractice in the Process of Making Authentic Deeds </w:t>
      </w:r>
      <w:r w:rsidDel="00000000" w:rsidR="00000000" w:rsidRPr="00000000">
        <w:rPr>
          <w:sz w:val="24"/>
          <w:szCs w:val="24"/>
          <w:rtl w:val="0"/>
        </w:rPr>
        <w:t xml:space="preserve">.” (Master's Thesis in Notary Affairs, Udayana University, Denpasar, 2014).</w:t>
      </w:r>
    </w:p>
    <w:p w:rsidR="00000000" w:rsidDel="00000000" w:rsidP="00000000" w:rsidRDefault="00000000" w:rsidRPr="00000000" w14:paraId="00000089">
      <w:pPr>
        <w:spacing w:line="276" w:lineRule="auto"/>
        <w:ind w:left="720" w:hanging="720"/>
        <w:jc w:val="both"/>
        <w:rPr>
          <w:sz w:val="24"/>
          <w:szCs w:val="24"/>
        </w:rPr>
      </w:pPr>
      <w:r w:rsidDel="00000000" w:rsidR="00000000" w:rsidRPr="00000000">
        <w:rPr>
          <w:sz w:val="24"/>
          <w:szCs w:val="24"/>
          <w:rtl w:val="0"/>
        </w:rPr>
        <w:t xml:space="preserve">Nalardi, N. </w:t>
      </w:r>
      <w:r w:rsidDel="00000000" w:rsidR="00000000" w:rsidRPr="00000000">
        <w:rPr>
          <w:i w:val="1"/>
          <w:sz w:val="24"/>
          <w:szCs w:val="24"/>
          <w:rtl w:val="0"/>
        </w:rPr>
        <w:t xml:space="preserve">“The Position of the Chief Waris and His Authority in the Scope of Customary High Heritage Land in the Minangkabau Traditional Community in West Sumatra” </w:t>
      </w:r>
      <w:r w:rsidDel="00000000" w:rsidR="00000000" w:rsidRPr="00000000">
        <w:rPr>
          <w:sz w:val="24"/>
          <w:szCs w:val="24"/>
          <w:rtl w:val="0"/>
        </w:rPr>
        <w:t xml:space="preserve">. (Master's Thesis, Sultan Agung Islamic University, Semarang, 2024).</w:t>
      </w:r>
    </w:p>
    <w:p w:rsidR="00000000" w:rsidDel="00000000" w:rsidP="00000000" w:rsidRDefault="00000000" w:rsidRPr="00000000" w14:paraId="0000008A">
      <w:pPr>
        <w:spacing w:line="276" w:lineRule="auto"/>
        <w:ind w:left="720" w:hanging="720"/>
        <w:jc w:val="both"/>
        <w:rPr>
          <w:b w:val="1"/>
          <w:sz w:val="24"/>
          <w:szCs w:val="24"/>
        </w:rPr>
      </w:pPr>
      <w:r w:rsidDel="00000000" w:rsidR="00000000" w:rsidRPr="00000000">
        <w:rPr>
          <w:rtl w:val="0"/>
        </w:rPr>
      </w:r>
    </w:p>
    <w:p w:rsidR="00000000" w:rsidDel="00000000" w:rsidP="00000000" w:rsidRDefault="00000000" w:rsidRPr="00000000" w14:paraId="0000008B">
      <w:pPr>
        <w:spacing w:line="276" w:lineRule="auto"/>
        <w:ind w:left="720" w:hanging="720"/>
        <w:jc w:val="both"/>
        <w:rPr>
          <w:b w:val="1"/>
          <w:sz w:val="24"/>
          <w:szCs w:val="24"/>
        </w:rPr>
      </w:pPr>
      <w:r w:rsidDel="00000000" w:rsidR="00000000" w:rsidRPr="00000000">
        <w:rPr>
          <w:b w:val="1"/>
          <w:sz w:val="24"/>
          <w:szCs w:val="24"/>
          <w:rtl w:val="0"/>
        </w:rPr>
        <w:t xml:space="preserve">D. Legislation</w:t>
      </w:r>
    </w:p>
    <w:p w:rsidR="00000000" w:rsidDel="00000000" w:rsidP="00000000" w:rsidRDefault="00000000" w:rsidRPr="00000000" w14:paraId="0000008C">
      <w:pPr>
        <w:spacing w:line="276" w:lineRule="auto"/>
        <w:ind w:left="720" w:hanging="720"/>
        <w:jc w:val="both"/>
        <w:rPr>
          <w:sz w:val="24"/>
          <w:szCs w:val="24"/>
        </w:rPr>
      </w:pPr>
      <w:r w:rsidDel="00000000" w:rsidR="00000000" w:rsidRPr="00000000">
        <w:rPr>
          <w:sz w:val="24"/>
          <w:szCs w:val="24"/>
          <w:rtl w:val="0"/>
        </w:rPr>
        <w:t xml:space="preserve">The 1945 Constitution of the Republic of Indonesia.</w:t>
      </w:r>
    </w:p>
    <w:p w:rsidR="00000000" w:rsidDel="00000000" w:rsidP="00000000" w:rsidRDefault="00000000" w:rsidRPr="00000000" w14:paraId="0000008D">
      <w:pPr>
        <w:spacing w:line="276" w:lineRule="auto"/>
        <w:ind w:left="720" w:hanging="720"/>
        <w:jc w:val="both"/>
        <w:rPr>
          <w:sz w:val="24"/>
          <w:szCs w:val="24"/>
        </w:rPr>
      </w:pPr>
      <w:r w:rsidDel="00000000" w:rsidR="00000000" w:rsidRPr="00000000">
        <w:rPr>
          <w:sz w:val="24"/>
          <w:szCs w:val="24"/>
          <w:rtl w:val="0"/>
        </w:rPr>
        <w:t xml:space="preserve">Law Number 5 of 1960 concerning Basic Agrarian Regulations.</w:t>
      </w:r>
    </w:p>
    <w:p w:rsidR="00000000" w:rsidDel="00000000" w:rsidP="00000000" w:rsidRDefault="00000000" w:rsidRPr="00000000" w14:paraId="0000008E">
      <w:pPr>
        <w:spacing w:line="276" w:lineRule="auto"/>
        <w:ind w:left="720" w:hanging="720"/>
        <w:jc w:val="both"/>
        <w:rPr>
          <w:sz w:val="24"/>
          <w:szCs w:val="24"/>
        </w:rPr>
      </w:pPr>
      <w:r w:rsidDel="00000000" w:rsidR="00000000" w:rsidRPr="00000000">
        <w:rPr>
          <w:sz w:val="24"/>
          <w:szCs w:val="24"/>
          <w:rtl w:val="0"/>
        </w:rPr>
        <w:t xml:space="preserve">Law of the Republic of Indonesia Number 17 of 2022 concerning West Sumatra Province.</w:t>
      </w:r>
    </w:p>
    <w:p w:rsidR="00000000" w:rsidDel="00000000" w:rsidP="00000000" w:rsidRDefault="00000000" w:rsidRPr="00000000" w14:paraId="0000008F">
      <w:pPr>
        <w:spacing w:line="276" w:lineRule="auto"/>
        <w:ind w:left="720" w:hanging="720"/>
        <w:jc w:val="both"/>
        <w:rPr>
          <w:sz w:val="24"/>
          <w:szCs w:val="24"/>
        </w:rPr>
      </w:pPr>
      <w:r w:rsidDel="00000000" w:rsidR="00000000" w:rsidRPr="00000000">
        <w:rPr>
          <w:sz w:val="24"/>
          <w:szCs w:val="24"/>
          <w:rtl w:val="0"/>
        </w:rPr>
        <w:t xml:space="preserve">Government Regulation Number 18 of 2021 concerning Management Rights, Land Rights, Apartment Units, and Land Registration.</w:t>
      </w:r>
    </w:p>
    <w:p w:rsidR="00000000" w:rsidDel="00000000" w:rsidP="00000000" w:rsidRDefault="00000000" w:rsidRPr="00000000" w14:paraId="00000090">
      <w:pPr>
        <w:spacing w:line="276" w:lineRule="auto"/>
        <w:ind w:left="720" w:hanging="720"/>
        <w:jc w:val="both"/>
        <w:rPr>
          <w:sz w:val="24"/>
          <w:szCs w:val="24"/>
        </w:rPr>
      </w:pPr>
      <w:r w:rsidDel="00000000" w:rsidR="00000000" w:rsidRPr="00000000">
        <w:rPr>
          <w:sz w:val="24"/>
          <w:szCs w:val="24"/>
          <w:rtl w:val="0"/>
        </w:rPr>
        <w:t xml:space="preserve">Regulation of the Minister of Agrarian Affairs and Spatial Planning/Head of the National Land Agency of the Republic of Indonesia Number 14 of 2024 concerning the Implementation of Land Administration and Registration of Customary Land Rights of Customary Law Communities.</w:t>
      </w:r>
    </w:p>
    <w:p w:rsidR="00000000" w:rsidDel="00000000" w:rsidP="00000000" w:rsidRDefault="00000000" w:rsidRPr="00000000" w14:paraId="00000091">
      <w:pPr>
        <w:spacing w:line="276" w:lineRule="auto"/>
        <w:ind w:left="720" w:hanging="720"/>
        <w:jc w:val="both"/>
        <w:rPr>
          <w:b w:val="1"/>
          <w:sz w:val="24"/>
          <w:szCs w:val="24"/>
        </w:rPr>
      </w:pPr>
      <w:r w:rsidDel="00000000" w:rsidR="00000000" w:rsidRPr="00000000">
        <w:rPr>
          <w:rtl w:val="0"/>
        </w:rPr>
      </w:r>
    </w:p>
    <w:p w:rsidR="00000000" w:rsidDel="00000000" w:rsidP="00000000" w:rsidRDefault="00000000" w:rsidRPr="00000000" w14:paraId="00000092">
      <w:pPr>
        <w:spacing w:line="276" w:lineRule="auto"/>
        <w:ind w:left="720" w:hanging="720"/>
        <w:jc w:val="both"/>
        <w:rPr>
          <w:b w:val="1"/>
          <w:sz w:val="24"/>
          <w:szCs w:val="24"/>
        </w:rPr>
      </w:pPr>
      <w:r w:rsidDel="00000000" w:rsidR="00000000" w:rsidRPr="00000000">
        <w:rPr>
          <w:b w:val="1"/>
          <w:sz w:val="24"/>
          <w:szCs w:val="24"/>
          <w:rtl w:val="0"/>
        </w:rPr>
        <w:t xml:space="preserve">E. Internet Sources</w:t>
      </w:r>
    </w:p>
    <w:p w:rsidR="00000000" w:rsidDel="00000000" w:rsidP="00000000" w:rsidRDefault="00000000" w:rsidRPr="00000000" w14:paraId="00000093">
      <w:pPr>
        <w:spacing w:line="276" w:lineRule="auto"/>
        <w:ind w:left="720" w:hanging="720"/>
        <w:jc w:val="both"/>
        <w:rPr>
          <w:sz w:val="24"/>
          <w:szCs w:val="24"/>
        </w:rPr>
      </w:pPr>
      <w:hyperlink r:id="rId6">
        <w:r w:rsidDel="00000000" w:rsidR="00000000" w:rsidRPr="00000000">
          <w:rPr>
            <w:color w:val="0563c1"/>
            <w:sz w:val="24"/>
            <w:szCs w:val="24"/>
            <w:u w:val="single"/>
            <w:rtl w:val="0"/>
          </w:rPr>
          <w:t xml:space="preserve">https://badilum.mahkamahagung.go.id/artikel-hukum/2453-peran-kerapatan-adat-nagari-kan-dalam-menyelesaikan-konstruksi-tanah-ulayat-kaum </w:t>
        </w:r>
      </w:hyperlink>
      <w:r w:rsidDel="00000000" w:rsidR="00000000" w:rsidRPr="00000000">
        <w:rPr>
          <w:sz w:val="24"/>
          <w:szCs w:val="24"/>
          <w:rtl w:val="0"/>
        </w:rPr>
        <w:t xml:space="preserve">accessed on June 7, 2024 at 10:20 WIB.</w:t>
      </w:r>
    </w:p>
    <w:p w:rsidR="00000000" w:rsidDel="00000000" w:rsidP="00000000" w:rsidRDefault="00000000" w:rsidRPr="00000000" w14:paraId="00000094">
      <w:pPr>
        <w:spacing w:line="276" w:lineRule="auto"/>
        <w:ind w:left="720" w:hanging="720"/>
        <w:jc w:val="both"/>
        <w:rPr>
          <w:sz w:val="24"/>
          <w:szCs w:val="24"/>
        </w:rPr>
      </w:pPr>
      <w:hyperlink r:id="rId7">
        <w:r w:rsidDel="00000000" w:rsidR="00000000" w:rsidRPr="00000000">
          <w:rPr>
            <w:color w:val="0563c1"/>
            <w:sz w:val="24"/>
            <w:szCs w:val="24"/>
            <w:u w:val="single"/>
            <w:rtl w:val="0"/>
          </w:rPr>
          <w:t xml:space="preserve">https://ekonomi.bisnis.com/read/20210420/47/1383939/pp-dari-uu-cipta-kerja-beri-jaminan-pengelolaan-hak-atas-tanah </w:t>
        </w:r>
      </w:hyperlink>
      <w:r w:rsidDel="00000000" w:rsidR="00000000" w:rsidRPr="00000000">
        <w:rPr>
          <w:sz w:val="24"/>
          <w:szCs w:val="24"/>
          <w:rtl w:val="0"/>
        </w:rPr>
        <w:t xml:space="preserve">accessed on June 7, 2024 at 09.00 WIB.</w:t>
      </w:r>
    </w:p>
    <w:p w:rsidR="00000000" w:rsidDel="00000000" w:rsidP="00000000" w:rsidRDefault="00000000" w:rsidRPr="00000000" w14:paraId="00000095">
      <w:pPr>
        <w:spacing w:line="276" w:lineRule="auto"/>
        <w:ind w:left="720" w:hanging="720"/>
        <w:jc w:val="both"/>
        <w:rPr>
          <w:sz w:val="24"/>
          <w:szCs w:val="24"/>
        </w:rPr>
      </w:pPr>
      <w:hyperlink r:id="rId8">
        <w:r w:rsidDel="00000000" w:rsidR="00000000" w:rsidRPr="00000000">
          <w:rPr>
            <w:color w:val="0563c1"/>
            <w:sz w:val="24"/>
            <w:szCs w:val="24"/>
            <w:u w:val="single"/>
            <w:rtl w:val="0"/>
          </w:rPr>
          <w:t xml:space="preserve">https://majalah.tempo.co/read/opini/170171/sertifikasi-tanah-ulayat </w:t>
        </w:r>
      </w:hyperlink>
      <w:r w:rsidDel="00000000" w:rsidR="00000000" w:rsidRPr="00000000">
        <w:rPr>
          <w:sz w:val="24"/>
          <w:szCs w:val="24"/>
          <w:rtl w:val="0"/>
        </w:rPr>
        <w:t xml:space="preserve">accessed on June 7, 2024 at 21.30 WIB.</w:t>
      </w:r>
    </w:p>
    <w:p w:rsidR="00000000" w:rsidDel="00000000" w:rsidP="00000000" w:rsidRDefault="00000000" w:rsidRPr="00000000" w14:paraId="00000096">
      <w:pPr>
        <w:spacing w:line="276" w:lineRule="auto"/>
        <w:ind w:left="720" w:hanging="720"/>
        <w:jc w:val="both"/>
        <w:rPr>
          <w:sz w:val="24"/>
          <w:szCs w:val="24"/>
        </w:rPr>
      </w:pPr>
      <w:hyperlink r:id="rId9">
        <w:r w:rsidDel="00000000" w:rsidR="00000000" w:rsidRPr="00000000">
          <w:rPr>
            <w:color w:val="0563c1"/>
            <w:sz w:val="24"/>
            <w:szCs w:val="24"/>
            <w:u w:val="single"/>
            <w:rtl w:val="0"/>
          </w:rPr>
          <w:t xml:space="preserve">https://muisumbar.or.id/baca-579-ketum-mui-sumbar-ingatkan-ancaman-sertifikasi-tanah-ulayat-terhadap-kelestarian-harta-pusaka-tinggi.html </w:t>
        </w:r>
      </w:hyperlink>
      <w:r w:rsidDel="00000000" w:rsidR="00000000" w:rsidRPr="00000000">
        <w:rPr>
          <w:sz w:val="24"/>
          <w:szCs w:val="24"/>
          <w:rtl w:val="0"/>
        </w:rPr>
        <w:t xml:space="preserve">accessed on May 8, 2025 at 14.07 WIB.</w:t>
      </w:r>
    </w:p>
    <w:p w:rsidR="00000000" w:rsidDel="00000000" w:rsidP="00000000" w:rsidRDefault="00000000" w:rsidRPr="00000000" w14:paraId="00000097">
      <w:pPr>
        <w:spacing w:line="276" w:lineRule="auto"/>
        <w:ind w:left="720" w:hanging="720"/>
        <w:jc w:val="both"/>
        <w:rPr>
          <w:sz w:val="24"/>
          <w:szCs w:val="24"/>
        </w:rPr>
      </w:pPr>
      <w:hyperlink r:id="rId10">
        <w:r w:rsidDel="00000000" w:rsidR="00000000" w:rsidRPr="00000000">
          <w:rPr>
            <w:color w:val="0563c1"/>
            <w:sz w:val="24"/>
            <w:szCs w:val="24"/>
            <w:u w:val="single"/>
            <w:rtl w:val="0"/>
          </w:rPr>
          <w:t xml:space="preserve">https://scientia.id/2020/07/06/pagang-gadai/ </w:t>
        </w:r>
      </w:hyperlink>
      <w:r w:rsidDel="00000000" w:rsidR="00000000" w:rsidRPr="00000000">
        <w:rPr>
          <w:sz w:val="24"/>
          <w:szCs w:val="24"/>
          <w:rtl w:val="0"/>
        </w:rPr>
        <w:t xml:space="preserve">accessed on June 6, 2024 at 20.30 WIB.</w:t>
      </w:r>
    </w:p>
    <w:p w:rsidR="00000000" w:rsidDel="00000000" w:rsidP="00000000" w:rsidRDefault="00000000" w:rsidRPr="00000000" w14:paraId="00000098">
      <w:pPr>
        <w:spacing w:line="276" w:lineRule="auto"/>
        <w:ind w:left="720" w:hanging="720"/>
        <w:jc w:val="both"/>
        <w:rPr>
          <w:sz w:val="24"/>
          <w:szCs w:val="24"/>
        </w:rPr>
      </w:pPr>
      <w:hyperlink r:id="rId11">
        <w:r w:rsidDel="00000000" w:rsidR="00000000" w:rsidRPr="00000000">
          <w:rPr>
            <w:color w:val="0563c1"/>
            <w:sz w:val="24"/>
            <w:szCs w:val="24"/>
            <w:u w:val="single"/>
            <w:rtl w:val="0"/>
          </w:rPr>
          <w:t xml:space="preserve">https://sumbar.antaranews.com/berita/622799/sosial-konstruksi-dengan-pt-lin-pasbar-tak-kunjung-selesai-ini-kronologis-tuntutan-20-persen-dari-hgu-dan-iup </w:t>
        </w:r>
      </w:hyperlink>
      <w:r w:rsidDel="00000000" w:rsidR="00000000" w:rsidRPr="00000000">
        <w:rPr>
          <w:sz w:val="24"/>
          <w:szCs w:val="24"/>
          <w:rtl w:val="0"/>
        </w:rPr>
        <w:t xml:space="preserve">accessed on January 15, 2025 at 13.30 WIB.</w:t>
      </w:r>
    </w:p>
    <w:p w:rsidR="00000000" w:rsidDel="00000000" w:rsidP="00000000" w:rsidRDefault="00000000" w:rsidRPr="00000000" w14:paraId="00000099">
      <w:pPr>
        <w:spacing w:line="276" w:lineRule="auto"/>
        <w:ind w:left="720" w:hanging="720"/>
        <w:jc w:val="both"/>
        <w:rPr>
          <w:sz w:val="24"/>
          <w:szCs w:val="24"/>
        </w:rPr>
      </w:pPr>
      <w:hyperlink r:id="rId12">
        <w:r w:rsidDel="00000000" w:rsidR="00000000" w:rsidRPr="00000000">
          <w:rPr>
            <w:color w:val="0563c1"/>
            <w:sz w:val="24"/>
            <w:szCs w:val="24"/>
            <w:u w:val="single"/>
            <w:rtl w:val="0"/>
          </w:rPr>
          <w:t xml:space="preserve">https://www.menaramu.id/2025/04/sertifikasi-tanah-ulayat-mengancam-kelestarian-pusaka-tinggi/ </w:t>
        </w:r>
      </w:hyperlink>
      <w:r w:rsidDel="00000000" w:rsidR="00000000" w:rsidRPr="00000000">
        <w:rPr>
          <w:sz w:val="24"/>
          <w:szCs w:val="24"/>
          <w:rtl w:val="0"/>
        </w:rPr>
        <w:t xml:space="preserve">accessed on May 8, 2025 at 13.58 WIB.</w:t>
      </w:r>
    </w:p>
    <w:p w:rsidR="00000000" w:rsidDel="00000000" w:rsidP="00000000" w:rsidRDefault="00000000" w:rsidRPr="00000000" w14:paraId="0000009A">
      <w:pPr>
        <w:spacing w:line="276" w:lineRule="auto"/>
        <w:ind w:left="720" w:hanging="720"/>
        <w:jc w:val="both"/>
        <w:rPr>
          <w:sz w:val="24"/>
          <w:szCs w:val="24"/>
        </w:rPr>
      </w:pPr>
      <w:hyperlink r:id="rId13">
        <w:r w:rsidDel="00000000" w:rsidR="00000000" w:rsidRPr="00000000">
          <w:rPr>
            <w:color w:val="0563c1"/>
            <w:sz w:val="24"/>
            <w:szCs w:val="24"/>
            <w:u w:val="single"/>
            <w:rtl w:val="0"/>
          </w:rPr>
          <w:t xml:space="preserve">https://www.noerfauzirachman.id/2023/05/masalah-hak-ulayat-dalam-kajian-dan.html </w:t>
        </w:r>
      </w:hyperlink>
      <w:r w:rsidDel="00000000" w:rsidR="00000000" w:rsidRPr="00000000">
        <w:rPr>
          <w:sz w:val="24"/>
          <w:szCs w:val="24"/>
          <w:rtl w:val="0"/>
        </w:rPr>
        <w:t xml:space="preserve">accessed on June 6, 2024 at 22.30 WIB.</w:t>
      </w:r>
    </w:p>
    <w:p w:rsidR="00000000" w:rsidDel="00000000" w:rsidP="00000000" w:rsidRDefault="00000000" w:rsidRPr="00000000" w14:paraId="0000009B">
      <w:pPr>
        <w:spacing w:after="160" w:line="276" w:lineRule="auto"/>
        <w:ind w:firstLine="0"/>
        <w:jc w:val="left"/>
        <w:rPr>
          <w:sz w:val="24"/>
          <w:szCs w:val="24"/>
        </w:rPr>
      </w:pPr>
      <w:r w:rsidDel="00000000" w:rsidR="00000000" w:rsidRPr="00000000">
        <w:rPr>
          <w:rtl w:val="0"/>
        </w:rPr>
      </w:r>
    </w:p>
    <w:p w:rsidR="00000000" w:rsidDel="00000000" w:rsidP="00000000" w:rsidRDefault="00000000" w:rsidRPr="00000000" w14:paraId="0000009C">
      <w:pPr>
        <w:ind w:firstLine="0"/>
        <w:jc w:val="both"/>
        <w:rPr>
          <w:b w:val="1"/>
          <w:sz w:val="22"/>
          <w:szCs w:val="22"/>
        </w:rPr>
      </w:pPr>
      <w:r w:rsidDel="00000000" w:rsidR="00000000" w:rsidRPr="00000000">
        <w:rPr>
          <w:rtl w:val="0"/>
        </w:rPr>
      </w:r>
    </w:p>
    <w:sectPr>
      <w:headerReference r:id="rId14" w:type="default"/>
      <w:headerReference r:id="rId15" w:type="even"/>
      <w:footerReference r:id="rId16" w:type="default"/>
      <w:footerReference r:id="rId17" w:type="even"/>
      <w:pgSz w:h="16839" w:w="11907" w:orient="portrait"/>
      <w:pgMar w:bottom="1560" w:top="1843" w:left="1701" w:right="1418" w:header="73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Baloo"/>
  <w:font w:name="Balthaz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althazar" w:cs="Balthazar" w:eastAsia="Balthazar" w:hAnsi="Balthazar"/>
        <w:b w:val="1"/>
        <w:i w:val="0"/>
        <w:smallCaps w:val="0"/>
        <w:strike w:val="0"/>
        <w:color w:val="000000"/>
        <w:sz w:val="16"/>
        <w:szCs w:val="16"/>
        <w:u w:val="none"/>
        <w:shd w:fill="auto" w:val="clear"/>
        <w:vertAlign w:val="baseline"/>
      </w:rPr>
    </w:pPr>
    <w:r w:rsidDel="00000000" w:rsidR="00000000" w:rsidRPr="00000000">
      <w:rPr>
        <w:rtl w:val="0"/>
      </w:rPr>
    </w:r>
  </w:p>
  <w:tbl>
    <w:tblPr>
      <w:tblStyle w:val="Table1"/>
      <w:tblW w:w="8677.0" w:type="dxa"/>
      <w:jc w:val="left"/>
      <w:tblLayout w:type="fixed"/>
      <w:tblLook w:val="0400"/>
    </w:tblPr>
    <w:tblGrid>
      <w:gridCol w:w="941"/>
      <w:gridCol w:w="7736"/>
      <w:tblGridChange w:id="0">
        <w:tblGrid>
          <w:gridCol w:w="941"/>
          <w:gridCol w:w="7736"/>
        </w:tblGrid>
      </w:tblGridChange>
    </w:tblGrid>
    <w:tr>
      <w:trPr>
        <w:cantSplit w:val="0"/>
        <w:trHeight w:val="347" w:hRule="atLeast"/>
        <w:tblHeader w:val="0"/>
      </w:trPr>
      <w:tc>
        <w:tcPr>
          <w:tcBorders>
            <w:top w:color="943634" w:space="0" w:sz="4" w:val="single"/>
          </w:tcBorders>
          <w:shd w:fill="000000" w:val="clear"/>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ffff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tcBorders>
            <w:top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PENA LAW: INTERNATIONAL JOURNAL OF LAW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https://penajournal.com/index.php/PENALAW/index</w:t>
          </w:r>
        </w:p>
      </w:tc>
    </w:tr>
  </w:tb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tbl>
    <w:tblPr>
      <w:tblStyle w:val="Table2"/>
      <w:tblW w:w="8677.0" w:type="dxa"/>
      <w:jc w:val="left"/>
      <w:tblLayout w:type="fixed"/>
      <w:tblLook w:val="0400"/>
    </w:tblPr>
    <w:tblGrid>
      <w:gridCol w:w="7710"/>
      <w:gridCol w:w="967"/>
      <w:tblGridChange w:id="0">
        <w:tblGrid>
          <w:gridCol w:w="7710"/>
          <w:gridCol w:w="967"/>
        </w:tblGrid>
      </w:tblGridChange>
    </w:tblGrid>
    <w:tr>
      <w:trPr>
        <w:cantSplit w:val="0"/>
        <w:trHeight w:val="327" w:hRule="atLeast"/>
        <w:tblHeader w:val="0"/>
      </w:trPr>
      <w:tc>
        <w:tcPr>
          <w:tcBorders>
            <w:top w:color="000000" w:space="0" w:sz="4"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PENA LAW: INTERNATIONAL JOURNAL OF LAW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https://penajournal.com/index.php/PENALAW/index </w:t>
          </w:r>
          <w:r w:rsidDel="00000000" w:rsidR="00000000" w:rsidRPr="00000000">
            <w:rPr>
              <w:rtl w:val="0"/>
            </w:rPr>
          </w:r>
        </w:p>
      </w:tc>
      <w:tc>
        <w:tcPr>
          <w:tcBorders>
            <w:top w:color="c0504d" w:space="0" w:sz="4" w:val="single"/>
          </w:tcBorders>
          <w:shd w:fill="000000"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Volume </w:t>
    </w: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No.2 (202</w:t>
    </w:r>
    <w:r w:rsidDel="00000000" w:rsidR="00000000" w:rsidRPr="00000000">
      <w:rPr>
        <w:b w:val="1"/>
        <w:sz w:val="22"/>
        <w:szCs w:val="22"/>
        <w:rtl w:val="0"/>
      </w:rPr>
      <w:t xml:space="preserve">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tabs>
        <w:tab w:val="center" w:leader="none" w:pos="4680"/>
        <w:tab w:val="right" w:leader="none" w:pos="9360"/>
      </w:tabs>
      <w:ind w:firstLine="0"/>
      <w:rPr>
        <w:b w:val="1"/>
        <w:sz w:val="20"/>
        <w:szCs w:val="20"/>
      </w:rPr>
    </w:pPr>
    <w:r w:rsidDel="00000000" w:rsidR="00000000" w:rsidRPr="00000000">
      <w:rPr>
        <w:b w:val="1"/>
        <w:sz w:val="20"/>
        <w:szCs w:val="20"/>
        <w:rtl w:val="0"/>
      </w:rPr>
      <w:t xml:space="preserve">THE PROBLEM OF RECOGNIZING MINANGKABAU COMMON LAND OWNERSHIP RIGHTS BETWEEN THE MATRILINEAL SYSTEM AND INDONESIAN LEGISLATION</w:t>
    </w:r>
  </w:p>
  <w:p w:rsidR="00000000" w:rsidDel="00000000" w:rsidP="00000000" w:rsidRDefault="00000000" w:rsidRPr="00000000" w14:paraId="000000A0">
    <w:pPr>
      <w:tabs>
        <w:tab w:val="center" w:leader="none" w:pos="4680"/>
        <w:tab w:val="right" w:leader="none" w:pos="9360"/>
      </w:tabs>
      <w:ind w:firstLine="0"/>
      <w:rPr>
        <w:b w:val="1"/>
        <w:sz w:val="20"/>
        <w:szCs w:val="2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20"/>
        <w:szCs w:val="20"/>
        <w:rtl w:val="0"/>
      </w:rPr>
      <w:t xml:space="preserve">Chandra et al.,</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aloo" w:cs="Baloo" w:eastAsia="Baloo" w:hAnsi="Baloo"/>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-296544</wp:posOffset>
          </wp:positionV>
          <wp:extent cx="6705600" cy="882650"/>
          <wp:effectExtent b="0" l="0" r="0" t="0"/>
          <wp:wrapNone/>
          <wp:docPr id="1" name="image1.png"/>
          <a:graphic>
            <a:graphicData uri="http://schemas.openxmlformats.org/drawingml/2006/picture">
              <pic:pic>
                <pic:nvPicPr>
                  <pic:cNvPr id="0" name="image1.png"/>
                  <pic:cNvPicPr preferRelativeResize="0"/>
                </pic:nvPicPr>
                <pic:blipFill>
                  <a:blip r:embed="rId1"/>
                  <a:srcRect b="0" l="874" r="2473" t="0"/>
                  <a:stretch>
                    <a:fillRect/>
                  </a:stretch>
                </pic:blipFill>
                <pic:spPr>
                  <a:xfrm>
                    <a:off x="0" y="0"/>
                    <a:ext cx="6705600" cy="882650"/>
                  </a:xfrm>
                  <a:prstGeom prst="rect"/>
                  <a:ln/>
                </pic:spPr>
              </pic:pic>
            </a:graphicData>
          </a:graphic>
        </wp:anchor>
      </w:drawing>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althazar" w:cs="Balthazar" w:eastAsia="Balthazar" w:hAnsi="Balthazar"/>
        <w:b w:val="1"/>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4. %1"/>
      <w:lvlJc w:val="left"/>
      <w:pPr>
        <w:ind w:left="2367" w:hanging="360"/>
      </w:pPr>
      <w:rPr>
        <w:u w:val="none"/>
      </w:rPr>
    </w:lvl>
    <w:lvl w:ilvl="1">
      <w:start w:val="1"/>
      <w:numFmt w:val="lowerLetter"/>
      <w:lvlText w:val="%2."/>
      <w:lvlJc w:val="left"/>
      <w:pPr>
        <w:ind w:left="3087" w:hanging="360"/>
      </w:pPr>
      <w:rPr>
        <w:u w:val="none"/>
      </w:rPr>
    </w:lvl>
    <w:lvl w:ilvl="2">
      <w:start w:val="1"/>
      <w:numFmt w:val="lowerRoman"/>
      <w:lvlText w:val="%3."/>
      <w:lvlJc w:val="right"/>
      <w:pPr>
        <w:ind w:left="3807" w:hanging="180"/>
      </w:pPr>
      <w:rPr>
        <w:u w:val="none"/>
      </w:rPr>
    </w:lvl>
    <w:lvl w:ilvl="3">
      <w:start w:val="1"/>
      <w:numFmt w:val="decimal"/>
      <w:lvlText w:val="%4."/>
      <w:lvlJc w:val="left"/>
      <w:pPr>
        <w:ind w:left="4527" w:hanging="360"/>
      </w:pPr>
      <w:rPr>
        <w:u w:val="none"/>
      </w:rPr>
    </w:lvl>
    <w:lvl w:ilvl="4">
      <w:start w:val="1"/>
      <w:numFmt w:val="lowerLetter"/>
      <w:lvlText w:val="%5."/>
      <w:lvlJc w:val="left"/>
      <w:pPr>
        <w:ind w:left="5247" w:hanging="360"/>
      </w:pPr>
      <w:rPr>
        <w:u w:val="none"/>
      </w:rPr>
    </w:lvl>
    <w:lvl w:ilvl="5">
      <w:start w:val="1"/>
      <w:numFmt w:val="lowerRoman"/>
      <w:lvlText w:val="%6."/>
      <w:lvlJc w:val="right"/>
      <w:pPr>
        <w:ind w:left="5967" w:hanging="180"/>
      </w:pPr>
      <w:rPr>
        <w:u w:val="none"/>
      </w:rPr>
    </w:lvl>
    <w:lvl w:ilvl="6">
      <w:start w:val="1"/>
      <w:numFmt w:val="decimal"/>
      <w:lvlText w:val="%7."/>
      <w:lvlJc w:val="left"/>
      <w:pPr>
        <w:ind w:left="6687" w:hanging="360"/>
      </w:pPr>
      <w:rPr>
        <w:u w:val="none"/>
      </w:rPr>
    </w:lvl>
    <w:lvl w:ilvl="7">
      <w:start w:val="1"/>
      <w:numFmt w:val="lowerLetter"/>
      <w:lvlText w:val="%8."/>
      <w:lvlJc w:val="left"/>
      <w:pPr>
        <w:ind w:left="7407" w:hanging="360"/>
      </w:pPr>
      <w:rPr>
        <w:u w:val="none"/>
      </w:rPr>
    </w:lvl>
    <w:lvl w:ilvl="8">
      <w:start w:val="1"/>
      <w:numFmt w:val="lowerRoman"/>
      <w:lvlText w:val="%9."/>
      <w:lvlJc w:val="right"/>
      <w:pPr>
        <w:ind w:left="8127" w:hanging="180"/>
      </w:pPr>
      <w:rPr>
        <w:u w:val="none"/>
      </w:rPr>
    </w:lvl>
  </w:abstractNum>
  <w:abstractNum w:abstractNumId="2">
    <w:lvl w:ilvl="0">
      <w:start w:val="1"/>
      <w:numFmt w:val="lowerLetter"/>
      <w:lvlText w:val="%1."/>
      <w:lvlJc w:val="left"/>
      <w:pPr>
        <w:ind w:left="1287" w:hanging="360.0000000000001"/>
      </w:pPr>
      <w:rPr>
        <w:u w:val="none"/>
      </w:rPr>
    </w:lvl>
    <w:lvl w:ilvl="1">
      <w:start w:val="1"/>
      <w:numFmt w:val="lowerLetter"/>
      <w:lvlText w:val="%2."/>
      <w:lvlJc w:val="left"/>
      <w:pPr>
        <w:ind w:left="2007" w:hanging="360"/>
      </w:pPr>
      <w:rPr>
        <w:u w:val="none"/>
      </w:rPr>
    </w:lvl>
    <w:lvl w:ilvl="2">
      <w:start w:val="1"/>
      <w:numFmt w:val="lowerRoman"/>
      <w:lvlText w:val="%3."/>
      <w:lvlJc w:val="right"/>
      <w:pPr>
        <w:ind w:left="2727" w:hanging="180"/>
      </w:pPr>
      <w:rPr>
        <w:u w:val="none"/>
      </w:rPr>
    </w:lvl>
    <w:lvl w:ilvl="3">
      <w:start w:val="1"/>
      <w:numFmt w:val="decimal"/>
      <w:lvlText w:val="%4."/>
      <w:lvlJc w:val="left"/>
      <w:pPr>
        <w:ind w:left="3447" w:hanging="360"/>
      </w:pPr>
      <w:rPr>
        <w:u w:val="none"/>
      </w:rPr>
    </w:lvl>
    <w:lvl w:ilvl="4">
      <w:start w:val="1"/>
      <w:numFmt w:val="lowerLetter"/>
      <w:lvlText w:val="%5."/>
      <w:lvlJc w:val="left"/>
      <w:pPr>
        <w:ind w:left="4167" w:hanging="360"/>
      </w:pPr>
      <w:rPr>
        <w:u w:val="none"/>
      </w:rPr>
    </w:lvl>
    <w:lvl w:ilvl="5">
      <w:start w:val="1"/>
      <w:numFmt w:val="lowerRoman"/>
      <w:lvlText w:val="%6."/>
      <w:lvlJc w:val="right"/>
      <w:pPr>
        <w:ind w:left="4887" w:hanging="180"/>
      </w:pPr>
      <w:rPr>
        <w:u w:val="none"/>
      </w:rPr>
    </w:lvl>
    <w:lvl w:ilvl="6">
      <w:start w:val="1"/>
      <w:numFmt w:val="decimal"/>
      <w:lvlText w:val="%7."/>
      <w:lvlJc w:val="left"/>
      <w:pPr>
        <w:ind w:left="5607" w:hanging="360"/>
      </w:pPr>
      <w:rPr>
        <w:u w:val="none"/>
      </w:rPr>
    </w:lvl>
    <w:lvl w:ilvl="7">
      <w:start w:val="1"/>
      <w:numFmt w:val="lowerLetter"/>
      <w:lvlText w:val="%8."/>
      <w:lvlJc w:val="left"/>
      <w:pPr>
        <w:ind w:left="6327" w:hanging="360"/>
      </w:pPr>
      <w:rPr>
        <w:u w:val="none"/>
      </w:rPr>
    </w:lvl>
    <w:lvl w:ilvl="8">
      <w:start w:val="1"/>
      <w:numFmt w:val="lowerRoman"/>
      <w:lvlText w:val="%9."/>
      <w:lvlJc w:val="right"/>
      <w:pPr>
        <w:ind w:left="7047" w:hanging="180"/>
      </w:pPr>
      <w:rPr>
        <w:u w:val="none"/>
      </w:rPr>
    </w:lvl>
  </w:abstractNum>
  <w:abstractNum w:abstractNumId="3">
    <w:lvl w:ilvl="0">
      <w:start w:val="1"/>
      <w:numFmt w:val="lowerLetter"/>
      <w:lvlText w:val="%1."/>
      <w:lvlJc w:val="left"/>
      <w:pPr>
        <w:ind w:left="1287" w:hanging="360.0000000000001"/>
      </w:pPr>
      <w:rPr>
        <w:u w:val="none"/>
      </w:rPr>
    </w:lvl>
    <w:lvl w:ilvl="1">
      <w:start w:val="1"/>
      <w:numFmt w:val="lowerLetter"/>
      <w:lvlText w:val="%2."/>
      <w:lvlJc w:val="left"/>
      <w:pPr>
        <w:ind w:left="2007" w:hanging="360"/>
      </w:pPr>
      <w:rPr>
        <w:u w:val="none"/>
      </w:rPr>
    </w:lvl>
    <w:lvl w:ilvl="2">
      <w:start w:val="1"/>
      <w:numFmt w:val="lowerRoman"/>
      <w:lvlText w:val="%3."/>
      <w:lvlJc w:val="right"/>
      <w:pPr>
        <w:ind w:left="2727" w:hanging="180"/>
      </w:pPr>
      <w:rPr>
        <w:u w:val="none"/>
      </w:rPr>
    </w:lvl>
    <w:lvl w:ilvl="3">
      <w:start w:val="1"/>
      <w:numFmt w:val="decimal"/>
      <w:lvlText w:val="%4."/>
      <w:lvlJc w:val="left"/>
      <w:pPr>
        <w:ind w:left="3447" w:hanging="360"/>
      </w:pPr>
      <w:rPr>
        <w:u w:val="none"/>
      </w:rPr>
    </w:lvl>
    <w:lvl w:ilvl="4">
      <w:start w:val="1"/>
      <w:numFmt w:val="lowerLetter"/>
      <w:lvlText w:val="%5."/>
      <w:lvlJc w:val="left"/>
      <w:pPr>
        <w:ind w:left="4167" w:hanging="360"/>
      </w:pPr>
      <w:rPr>
        <w:u w:val="none"/>
      </w:rPr>
    </w:lvl>
    <w:lvl w:ilvl="5">
      <w:start w:val="1"/>
      <w:numFmt w:val="lowerRoman"/>
      <w:lvlText w:val="%6."/>
      <w:lvlJc w:val="right"/>
      <w:pPr>
        <w:ind w:left="4887" w:hanging="180"/>
      </w:pPr>
      <w:rPr>
        <w:u w:val="none"/>
      </w:rPr>
    </w:lvl>
    <w:lvl w:ilvl="6">
      <w:start w:val="1"/>
      <w:numFmt w:val="decimal"/>
      <w:lvlText w:val="%7."/>
      <w:lvlJc w:val="left"/>
      <w:pPr>
        <w:ind w:left="5607" w:hanging="360"/>
      </w:pPr>
      <w:rPr>
        <w:u w:val="none"/>
      </w:rPr>
    </w:lvl>
    <w:lvl w:ilvl="7">
      <w:start w:val="1"/>
      <w:numFmt w:val="lowerLetter"/>
      <w:lvlText w:val="%8."/>
      <w:lvlJc w:val="left"/>
      <w:pPr>
        <w:ind w:left="6327" w:hanging="360"/>
      </w:pPr>
      <w:rPr>
        <w:u w:val="none"/>
      </w:rPr>
    </w:lvl>
    <w:lvl w:ilvl="8">
      <w:start w:val="1"/>
      <w:numFmt w:val="lowerRoman"/>
      <w:lvlText w:val="%9."/>
      <w:lvlJc w:val="right"/>
      <w:pPr>
        <w:ind w:left="7047"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en"/>
      </w:rPr>
    </w:rPrDefault>
    <w:pPrDefault>
      <w:pPr>
        <w:ind w:firstLine="567"/>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center"/>
    </w:pPr>
    <w:rPr>
      <w:rFonts w:ascii="Times New Roman" w:cs="Times New Roman" w:eastAsia="Times New Roman" w:hAnsi="Times New Roman"/>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spacing w:after="60" w:before="240" w:lineRule="auto"/>
    </w:pPr>
    <w:rPr>
      <w:b w:val="1"/>
      <w:i w:val="1"/>
      <w:sz w:val="22"/>
      <w:szCs w:val="22"/>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1134"/>
      <w:jc w:val="both"/>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Times New Roman" w:cs="Times New Roman" w:eastAsia="Times New Roman" w:hAnsi="Times New Roman"/>
      <w:b w:val="0"/>
      <w:i w:val="0"/>
      <w:smallCaps w:val="0"/>
      <w:strike w:val="0"/>
      <w:color w:val="000000"/>
      <w:sz w:val="22"/>
      <w:szCs w:val="22"/>
      <w:u w:val="none"/>
      <w:shd w:fill="auto" w:val="clear"/>
      <w:vertAlign w:val="baseline"/>
    </w:rPr>
  </w:style>
  <w:style w:type="paragraph" w:styleId="Heading5">
    <w:name w:val="heading 5"/>
    <w:basedOn w:val="Normal"/>
    <w:next w:val="Normal"/>
    <w:pPr>
      <w:keepNext w:val="1"/>
      <w:keepLines w:val="1"/>
      <w:spacing w:before="40" w:line="259" w:lineRule="auto"/>
      <w:ind w:firstLine="0"/>
      <w:jc w:val="left"/>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jc w:val="left"/>
    </w:pPr>
    <w:rPr>
      <w:b w:val="1"/>
      <w:sz w:val="22"/>
      <w:szCs w:val="22"/>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Times New Roman" w:cs="Times New Roman" w:eastAsia="Times New Roman" w:hAnsi="Times New Roman"/>
      <w:b w:val="0"/>
      <w:i w:val="1"/>
      <w:smallCaps w:val="0"/>
      <w:strike w:val="0"/>
      <w:color w:val="000000"/>
      <w:sz w:val="20"/>
      <w:szCs w:val="20"/>
      <w:u w:val="none"/>
      <w:shd w:fill="auto" w:val="clear"/>
      <w:vertAlign w:val="baseline"/>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umbar.antaranews.com/berita/622799/sengketa-masyarakat-dengan-pt-lin-pasbar-tak-kunjung-selesai-ini-kronologis-tuntutan-20-persen-dari-hgu-dan-iup" TargetMode="External"/><Relationship Id="rId10" Type="http://schemas.openxmlformats.org/officeDocument/2006/relationships/hyperlink" Target="https://scientia.id/2020/07/06/pagang-gadai/" TargetMode="External"/><Relationship Id="rId13" Type="http://schemas.openxmlformats.org/officeDocument/2006/relationships/hyperlink" Target="https://www.noerfauzirachman.id/2023/05/masalah-hak-ulayat-dalam-kajian-dan.html" TargetMode="External"/><Relationship Id="rId12" Type="http://schemas.openxmlformats.org/officeDocument/2006/relationships/hyperlink" Target="https://www.menaramu.id/2025/04/sertifikasi-tanah-ulayat-mengancam-kelestarian-pusaka-tingg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uisumbar.or.id/baca-579-ketum-mui-sumbar-ingatkan-ancaman-sertifikasi-tanah-ulayat-terhadap-kelestarian-harta-pusaka-tinggi.html"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badilum.mahkamahagung.go.id/artikel-hukum/2453-peran-kerapatan-adat-nagari-kan-dalam-menyelesaikan-sengketa-tanah-ulayat-kaum" TargetMode="External"/><Relationship Id="rId7" Type="http://schemas.openxmlformats.org/officeDocument/2006/relationships/hyperlink" Target="https://ekonomi.bisnis.com/read/20210420/47/1383939/pp-dari-uu-cipta-kerja-beri-jaminan-pengelolaan-hak-atas-tanah" TargetMode="External"/><Relationship Id="rId8" Type="http://schemas.openxmlformats.org/officeDocument/2006/relationships/hyperlink" Target="https://majalah.tempo.co/read/opini/170171/sertifikasi-tanah-ulay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